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24.09.2026  |  93 Studien  |  onkologie.m-vf.de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BCG plus Immune Checkpoint Inhibitor erhöht systemische Toxizität bei Blasenkrebs deutlich</w:t>
      </w:r>
    </w:p>
    <w:p>
      <w:r>
        <w:rPr>
          <w:i/>
          <w:color w:val="666666"/>
          <w:sz w:val="18"/>
        </w:rPr>
        <w:t>Ciccarese C et al.  ·  ESMO Open  ·  23.09.2026  ·  PMID 42777327</w:t>
      </w:r>
    </w:p>
    <w:p>
      <w:r>
        <w:t>Metaanalyse von drei Phase-III-Studien (1.895 Patienten) zur Sicherheit intravesikaler BCG-Immunchemotherapie gegenüber BCG allein bei nicht-muskelinvasivem Harnblasenkarzinom.</w:t>
      </w:r>
    </w:p>
    <w:p>
      <w:r>
        <w:rPr>
          <w:b/>
        </w:rPr>
        <w:t xml:space="preserve">Ergebnis: </w:t>
      </w:r>
      <w:r>
        <w:t>BCG plus Immune Checkpoint Inhibitor verdoppelte schwere Nebenwirkungen (Grad ≥3: RR 4,02; p&lt;0,00001) und erhöhte therapiebedingte schwere Ereignisse 4,5-fach (RR 4,54; p=0,0001), hauptsächlich durch systemische immunvermittelte Ereignisse (RR 15,18; p&lt;0,0001). Lokale Blasensymptome ähnlich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Europa-Studie mit deutschen und österreichischen Zentren, direkt anwendbar</w:t>
      </w:r>
    </w:p>
    <w:p>
      <w:r>
        <w:rPr>
          <w:color w:val="5A7D3A"/>
          <w:sz w:val="18"/>
        </w:rPr>
        <w:t>https://pubmed.ncbi.nlm.nih.gov/42777327/</w:t>
      </w:r>
    </w:p>
    <w:p>
      <w:pPr>
        <w:pStyle w:val="Heading2"/>
      </w:pPr>
      <w:r>
        <w:t>FLOT plus Nivolumab bei Magenkrebse: Monocyten-Lymphozyten-Ratio identifiziert Profiteure</w:t>
      </w:r>
    </w:p>
    <w:p>
      <w:r>
        <w:rPr>
          <w:i/>
          <w:color w:val="666666"/>
          <w:sz w:val="18"/>
        </w:rPr>
        <w:t>Masetti M et al.  ·  Eur J Cancer  ·  10.09.2026  ·  PMID 42777290</w:t>
      </w:r>
    </w:p>
    <w:p>
      <w:r>
        <w:t>Extended Follow-up einer deutschen Multizenterstudie (Arm C: 52 Patienten mit mCRPC) zu FLOT-Chemotherapie plus Nivolumab mit Biomarker-Stratifizierung für Magenkarzinom.</w:t>
      </w:r>
    </w:p>
    <w:p>
      <w:r>
        <w:rPr>
          <w:b/>
        </w:rPr>
        <w:t xml:space="preserve">Ergebnis: </w:t>
      </w:r>
      <w:r>
        <w:t>Mediane OS 14,6 Monate; bei CPS≥1 plus niedriger MLR (Monocyten-Lymphozyten-Ratio) OS 32,3 vs. 7,4 Monate (p=0,044). NLR und MLR korrelierten mit Überleben; Schmerz verbesserte sich, Müdigkeit und körperliche Funktionsfähigkeit verschlechterten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aus 19 Zentren, vollständig übertragbar</w:t>
      </w:r>
    </w:p>
    <w:p>
      <w:r>
        <w:rPr>
          <w:color w:val="5A7D3A"/>
          <w:sz w:val="18"/>
        </w:rPr>
        <w:t>https://pubmed.ncbi.nlm.nih.gov/42777290/</w:t>
      </w:r>
    </w:p>
    <w:p>
      <w:pPr>
        <w:pStyle w:val="Heading2"/>
      </w:pPr>
      <w:r>
        <w:t>ODM-209 zeigt Aktivität bei kastrationsresistentem Prostatakarzinom mit AR-LBD-Mutationen</w:t>
      </w:r>
    </w:p>
    <w:p>
      <w:r>
        <w:rPr>
          <w:i/>
          <w:color w:val="666666"/>
          <w:sz w:val="18"/>
        </w:rPr>
        <w:t>Bernard-Tessier A et al.  ·  Eur J Cancer  ·  12.09.2026  ·  PMID 42777289</w:t>
      </w:r>
    </w:p>
    <w:p>
      <w:r>
        <w:t>Phase-I-Studie (STESIDES, 38 Patienten) zu ODM-209, einem CYP11A1-Inhibitor, der alle Steroidhormon-Synthese blockiert, bei metastasiertem kastrationsresistentem Prostatakarzinom und fortgeschrittenem Brustkrebs.</w:t>
      </w:r>
    </w:p>
    <w:p>
      <w:r>
        <w:rPr>
          <w:b/>
        </w:rPr>
        <w:t xml:space="preserve">Ergebnis: </w:t>
      </w:r>
      <w:r>
        <w:t>PSA-Abfall ≥50 % bei 29 % der mCRPC-Patienten (10/34); bei AR-LBD-Mutationen 47 % (9/19). Partielle klinische Remission bei 19 % (3/16). Häufigste Nebenwirkungen: Müdigkeit (53 %), periphere Ödeme (34 %); 8 % erlebten schwere Nebenwirkungen, 3 Fälle ernsthafte Nebenniereninsuffizienz (eine davon DLT).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Europäisch-finländische Studie, toxikologisches Profil übertragbar auf Deutschland</w:t>
      </w:r>
    </w:p>
    <w:p>
      <w:r>
        <w:rPr>
          <w:color w:val="5A7D3A"/>
          <w:sz w:val="18"/>
        </w:rPr>
        <w:t>https://pubmed.ncbi.nlm.nih.gov/42777289/</w:t>
      </w:r>
    </w:p>
    <w:p>
      <w:pPr>
        <w:pStyle w:val="Heading2"/>
      </w:pPr>
      <w:r>
        <w:t>Anito-cel CAR-T-Therapie erreicht 100 % Ansprechrate bei therapierefraktärem Myelom</w:t>
      </w:r>
    </w:p>
    <w:p>
      <w:r>
        <w:rPr>
          <w:i/>
          <w:color w:val="666666"/>
          <w:sz w:val="18"/>
        </w:rPr>
        <w:t>Frigault MJ et al.  ·  N Engl J Med  ·  24.09.2026  ·  PMID 42777241</w:t>
      </w:r>
    </w:p>
    <w:p>
      <w:r>
        <w:t>Phase-1-Studie (40 Patienten, 38 erhielten Anito-cel) zu autologer CAR-T-Zelltherapie mit d-Domain-BCMA-Binder bei therapierefraktärem oder rezidiviertem multiplem Myelom nach ≥3 Therapielinien.</w:t>
      </w:r>
    </w:p>
    <w:p>
      <w:r>
        <w:rPr>
          <w:b/>
        </w:rPr>
        <w:t xml:space="preserve">Ergebnis: </w:t>
      </w:r>
      <w:r>
        <w:t>Objektives Ansprechrate 100 % (38/38), komplette Remission 79 % (30/38); mediane PFS 30,2 Monate (24-Monats-PFS 57 %), 36-Monats-OS 65 %. CRS Grad 1–2 bei 94 % (beim empfohlenen Dosis-Level), kein Grad-≥3-CRS. ICANS Grad 1–2 bei 16 %, Grad 3 bei 3 % (1 Patient). Keine Neurotoxizität oder Off-Target-Effekte.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US-Zulassungsstudie, internationale Relevanz, Verfügbarkeit in Deutschland fraglich</w:t>
      </w:r>
    </w:p>
    <w:p>
      <w:r>
        <w:rPr>
          <w:color w:val="5A7D3A"/>
          <w:sz w:val="18"/>
        </w:rPr>
        <w:t>https://pubmed.ncbi.nlm.nih.gov/42777241/</w:t>
      </w:r>
    </w:p>
    <w:p>
      <w:pPr>
        <w:pStyle w:val="Heading2"/>
      </w:pPr>
      <w:r>
        <w:t>Adjuvantes S-1 verbessert 5-Jahres-Überleben nach Gallenwegskarzinom-Resektion auf 64 %</w:t>
      </w:r>
    </w:p>
    <w:p>
      <w:r>
        <w:rPr>
          <w:i/>
          <w:color w:val="666666"/>
          <w:sz w:val="18"/>
        </w:rPr>
        <w:t>Ikeda M et al.  ·  J Clin Oncol  ·  23.09.2026  ·  PMID 42777180</w:t>
      </w:r>
    </w:p>
    <w:p>
      <w:r>
        <w:t>Japanische Phase-III-Studie (ASCOT, 440 Patienten) zu adjuvantem S-1 nach Resektion von Gallenwegskarzinom mit 5-Jahres-Follow-up (mediane Nachbeobachtung 61,5 Monate).</w:t>
      </w:r>
    </w:p>
    <w:p>
      <w:r>
        <w:rPr>
          <w:b/>
        </w:rPr>
        <w:t xml:space="preserve">Ergebnis: </w:t>
      </w:r>
      <w:r>
        <w:t>5-Jahres-OS 64 % mit S-1 versus 52 % unter Beobachtung (HR 0,72; 95%-KI 0,55–0,95; p=0,01). Mediane OS 8,2 versus 5,9 Jahre. Mediane RFS 3,5 (S-1) versus 6,1 Jahre (Beobachtung). Behandlungseffekt über Subgruppen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Gesundheitssystem, internationales Standard-Chemotherapieschema, AMNOG-Nutzen möglich</w:t>
      </w:r>
    </w:p>
    <w:p>
      <w:r>
        <w:rPr>
          <w:color w:val="5A7D3A"/>
          <w:sz w:val="18"/>
        </w:rPr>
        <w:t>https://pubmed.ncbi.nlm.nih.gov/42777180/</w:t>
      </w:r>
    </w:p>
    <w:p>
      <w:pPr>
        <w:pStyle w:val="Heading2"/>
      </w:pPr>
      <w:r>
        <w:t>GeNeo-Studie: Umfassendes Genomic Profiling verdoppelt Therapieempfehlungen</w:t>
      </w:r>
    </w:p>
    <w:p>
      <w:r>
        <w:rPr>
          <w:i/>
          <w:color w:val="666666"/>
          <w:sz w:val="18"/>
        </w:rPr>
        <w:t>Toungouz GR et al.  ·  Eur J Cancer  ·  03.06.2026  ·  PMID 42773586</w:t>
      </w:r>
    </w:p>
    <w:p>
      <w:r>
        <w:t>Belgische Studie an 1.000 metastasierten oder lokal fortgeschrittenen Krebspatienten, Vergleich umfassendes Genomic Profiling (CGP) versus beschränkte lokale NGS-Panels im Rahmen der belgischen Präzisionsmedizin-Initiative.</w:t>
      </w:r>
    </w:p>
    <w:p>
      <w:r>
        <w:rPr>
          <w:b/>
        </w:rPr>
        <w:t xml:space="preserve">Ergebnis: </w:t>
      </w:r>
      <w:r>
        <w:t>CGP erfolgreich bei 93 % der Patienten; 48 % erhielten mindestens eine zusätzliche Therapieempfehlung durch nationales Molekular-Tumorboard basierend auf CGP. 61 % aller Patienten erhielten CGP-basierte Empfehlungen; 23 % davon erhalten die empfohlene Therapie (Blockage: Nichtverfügbarkeit 25 %, klinische Verschlechterung 24 %, Patientenwahl 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Belgisches Sozialversicherungssystem, ähnlich deutschem Struktur und Zulassungswegen</w:t>
      </w:r>
    </w:p>
    <w:p>
      <w:r>
        <w:rPr>
          <w:color w:val="5A7D3A"/>
          <w:sz w:val="18"/>
        </w:rPr>
        <w:t>https://pubmed.ncbi.nlm.nih.gov/42773586/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Chemotherapie und höheres Alter verschlechtern funktionelle Erholung bei älteren Brustkrebsüberlebenden</w:t>
      </w:r>
    </w:p>
    <w:p>
      <w:r>
        <w:rPr>
          <w:i/>
          <w:color w:val="666666"/>
          <w:sz w:val="18"/>
        </w:rPr>
        <w:t>Cespedes Feliciano EM et al.  ·  J Natl Cancer Inst  ·  23.09.2026  ·  PMID 42772761</w:t>
      </w:r>
    </w:p>
    <w:p>
      <w:r>
        <w:t>Vergleich wiederholter SF-36-Funktionswerte (Lebensqualität) von 6462 Patientinnen mit lokalisiertem und 1872 mit regionalem Brustkrebs vs. 37 196 krebsfreie altersgerechte Kontrollen über 15 Jahre aus der Women's Health Initiative.</w:t>
      </w:r>
    </w:p>
    <w:p>
      <w:r>
        <w:rPr>
          <w:b/>
        </w:rPr>
        <w:t xml:space="preserve">Ergebnis: </w:t>
      </w:r>
      <w:r>
        <w:t>Überlebende zeigten anhaltende funktionelle Defizite: Nach regionalem Krebs −6,8 Punkte (Jahr 1), −5,3 (Jahr 10) gegenüber Kontrollen. Chemotherapie verschärfte frühe Rückgänge (−7,1 Jahr 1). Frauen unter 70 Jahren zeigten bessere Erholung. Bessere Prediagnose-Lebensstiländerungen korrelierten mit größerer funktioneller Reserve und Erholungsfähigkeit.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mit großem Stichprobenumfang; Prinzipien der Unterstützung bei funktioneller Rehabilitation übertragbar.</w:t>
      </w:r>
    </w:p>
    <w:p>
      <w:r>
        <w:rPr>
          <w:color w:val="5A7D3A"/>
          <w:sz w:val="18"/>
        </w:rPr>
        <w:t>https://pubmed.ncbi.nlm.nih.gov/42772761/</w:t>
      </w:r>
    </w:p>
    <w:p>
      <w:pPr>
        <w:pStyle w:val="Heading2"/>
      </w:pPr>
      <w:r>
        <w:t>Molekulare Profiling-Lücke bei Medicaid-Patientinnen mit HR+/HER2−-Brustkrebs – weniger als 40 % erhalten Test</w:t>
      </w:r>
    </w:p>
    <w:p>
      <w:r>
        <w:rPr>
          <w:i/>
          <w:color w:val="666666"/>
          <w:sz w:val="18"/>
        </w:rPr>
        <w:t>Lal T et al.  ·  JCO Oncol Pract  ·  22.09.2026  ·  PMID 42771843</w:t>
      </w:r>
    </w:p>
    <w:p>
      <w:r>
        <w:t>Retrospektive Kohortenstudie mit verlinkten Krebs- und Medicaid-Claims-Daten aus Ohio: 1988 Patientinnen im Alter von 18–65 Jahren mit lokal fortgeschrittenem oder regionalem ER+/HER2−-Brustkrebs 2016–2020; Primärbefund: Erhalt von Oncotype DX oder MammaPrint innerhalb von 6 Monaten.</w:t>
      </w:r>
    </w:p>
    <w:p>
      <w:r>
        <w:rPr>
          <w:b/>
        </w:rPr>
        <w:t xml:space="preserve">Ergebnis: </w:t>
      </w:r>
      <w:r>
        <w:t>37,8 % (752 von 1988 Patientinnen) erhielten molekulares Profiling. Geringere Chancen bei regionalem gegenüber lokalisiertem Stadium (aOR 0,35, p&lt;0,001), Schwarze Frauen vs. Weiße (aOR 0,72), Einkommen über Armutsgrenze (aOR 0,73) und Medicaid-Langzeitpflege-Einschreiber (aOR 0,47). Verheiratet mit höherem Profiling (aOR 1,30).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USA-Medicaid-Daten; Versorgungsungleichheiten ähnlich auch in Deutschland bei gesetzlicher Versicherung – Implementierungslücke bei Risikogruppen.</w:t>
      </w:r>
    </w:p>
    <w:p>
      <w:r>
        <w:rPr>
          <w:color w:val="5A7D3A"/>
          <w:sz w:val="18"/>
        </w:rPr>
        <w:t>https://pubmed.ncbi.nlm.nih.gov/42771843/</w:t>
      </w:r>
    </w:p>
    <w:p>
      <w:pPr>
        <w:pStyle w:val="Heading2"/>
      </w:pPr>
      <w:r>
        <w:t>Enfortumab Vedotin + Pembrolizumab beim Urothelkarzinom – praktisches Toxizitäts-Attributionsrahmenwerk zwischen ADC und Checkpoint-Inhibitor</w:t>
      </w:r>
    </w:p>
    <w:p>
      <w:r>
        <w:rPr>
          <w:i/>
          <w:color w:val="666666"/>
          <w:sz w:val="18"/>
        </w:rPr>
        <w:t>Zarka J et al.  ·  Oncologist  ·  21.09.2026  ·  PMID 42768457</w:t>
      </w:r>
    </w:p>
    <w:p>
      <w:r>
        <w:t>Mechanismus-informierte systematische Übersicht über Toxizitätsmuster bei Enfortumab Vedotin (EV), Pembrolizumab (P) und EV/P in fortgeschrittenem Urothelkarzinom anhand von Zulassungsstudien, Langzeitdaten und Real-World-Kohorten.</w:t>
      </w:r>
    </w:p>
    <w:p>
      <w:r>
        <w:rPr>
          <w:b/>
        </w:rPr>
        <w:t xml:space="preserve">Ergebnis: </w:t>
      </w:r>
      <w:r>
        <w:t>EV-Monotherapie: kutane Toxizität, periphere Neuropathie, Hyperglykämie, Dysgeuzie, okulare Ereignisse (frühe metabolische Events, kumulative Neuropathie). Pembrolizumab: niedrigere Hochgrad-Toxizität, aber Immune-Checkpoint-induzierte Endokrinopathien, Pneumonitis, Hepatitis, Kolitis, Nephritis. Kombination EV/P: vorhersehbare Überlappung dieser Toxizitätsdomänen; praktisches Attributionsrahmenwerk (EV-dominant, Immune-dominant, Überlappung, hohes Risiko mit Therapieunterbrechung).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Mayo-Klinik-Kohorte; Toxizitäts-Management-Schemata und Attributionsrahmen für europäische/deutsche Urothelkarzinom-Praxen anwendbar.</w:t>
      </w:r>
    </w:p>
    <w:p>
      <w:r>
        <w:rPr>
          <w:color w:val="5A7D3A"/>
          <w:sz w:val="18"/>
        </w:rPr>
        <w:t>https://pubmed.ncbi.nlm.nih.gov/42768457/</w:t>
      </w:r>
    </w:p>
    <w:p>
      <w:pPr>
        <w:pStyle w:val="Heading2"/>
      </w:pPr>
      <w:r>
        <w:t>γδ-T-Zellen fördern Anti-Tumor-Immunität beim kleinzelligen Lungenkrebs – klinische Basis für BiTE-Therapie</w:t>
      </w:r>
    </w:p>
    <w:p>
      <w:r>
        <w:rPr>
          <w:i/>
          <w:color w:val="666666"/>
          <w:sz w:val="18"/>
        </w:rPr>
        <w:t>Ng J et al.  ·  Cancer Cell  ·  18.09.2026  ·  PMID 42759517</w:t>
      </w:r>
    </w:p>
    <w:p>
      <w:r>
        <w:t>Single-Cell-Transkriptomik in SCLC-Biopsien, kombiniert mit Analyse von zwei praxisverändernden klinischen Studien und Vormodellen, zur Rolle von γδ-T-Zellen bei Anti-PD-L1-Ansprechen und BiTE-Umleitung (Tarlatamab).</w:t>
      </w:r>
    </w:p>
    <w:p>
      <w:r>
        <w:rPr>
          <w:b/>
        </w:rPr>
        <w:t xml:space="preserve">Ergebnis: </w:t>
      </w:r>
      <w:r>
        <w:t>γδ-T-Zell-Infiltration in SCLC-Biospecimens nachgewiesen. Trotz PD-1-Expression behielten γδ-T-Zellen zytotoxisches Transkriptionsprofil. Hohe γδ-T-Zell-Infiltration sagte verbessertes Ansprechen auf Anti-PD-L1 in zwei Studien voraus. Vormodelle zeigten γδ-T-Zellen wirksam bei Tarlatamab-umgeleiteter SCLC-Abtötung; Zoledronsäure sensibilisierte SCLC-Zellen für γδ-T-Zell-vermittelte Tötung.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 Kohorte; Grundlagenbefund mit erkennbarem Weg zu klinischen BiTE- und Kombinationsansätzen.</w:t>
      </w:r>
    </w:p>
    <w:p>
      <w:r>
        <w:rPr>
          <w:color w:val="5A7D3A"/>
          <w:sz w:val="18"/>
        </w:rPr>
        <w:t>https://pubmed.ncbi.nlm.nih.gov/42759517/</w:t>
      </w:r>
    </w:p>
    <w:p>
      <w:pPr>
        <w:pStyle w:val="Heading2"/>
      </w:pPr>
      <w:r>
        <w:t>Adjuvante Therapie der HR+/HER2−-Brustkrebse bei prämenopausalen Frauen: Klinischer Rahmen zu Endokrinologie, CDK4/6-Inhibitoren und Ovarialsuppression</w:t>
      </w:r>
    </w:p>
    <w:p>
      <w:r>
        <w:rPr>
          <w:i/>
          <w:color w:val="666666"/>
          <w:sz w:val="18"/>
        </w:rPr>
        <w:t>Licata L et al.  ·  Ann Oncol  ·  17.09.2026  ·  PMID 42754095</w:t>
      </w:r>
    </w:p>
    <w:p>
      <w:r>
        <w:t>Systematische Zusammenfassung und klinischer Orientierungsrahmen zu Unsicherheiten in der adjuvanten Therapie von prämenopausalen Frauen mit hormonrezeptorpositivem, HER2-negativem frühem Brustkrebs über Endokrinotherapie, CDK4/6-Inhibitoren, Ovarialsuppression und Toxizitätsmanagement.</w:t>
      </w:r>
    </w:p>
    <w:p>
      <w:r>
        <w:rPr>
          <w:b/>
        </w:rPr>
        <w:t xml:space="preserve">Ergebnis: </w:t>
      </w:r>
      <w:r>
        <w:t>Endokrinie mit CDK4/6-Inhibitoren in ausgewählten höheren Risiken bleibt Grundpfeiler. Offene Fragen: optimale Ovarialsuppression, Interpretation genomischer Assays für Chemotherapieentscheidungen, Auswahl für verlängerte Endokrinotherapie, Adhärenz und Schwangerschaftsprobleme. Der Rahmen soll individualisierte Strategien für diese Population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und internationale Expertise; Strukturen übertragbar auf deutsches Zentrenmanagement.</w:t>
      </w:r>
    </w:p>
    <w:p>
      <w:r>
        <w:rPr>
          <w:color w:val="5A7D3A"/>
          <w:sz w:val="18"/>
        </w:rPr>
        <w:t>https://pubmed.ncbi.nlm.nih.gov/42754095/</w:t>
      </w:r>
    </w:p>
    <w:p>
      <w:pPr>
        <w:pStyle w:val="Heading2"/>
      </w:pPr>
      <w:r>
        <w:t>Arzneimittelinteraktionen beim Prostatakarzinom – digitale Tools häufig genutzt, Pharmakolog-Zugang unterentwickelt</w:t>
      </w:r>
    </w:p>
    <w:p>
      <w:r>
        <w:rPr>
          <w:i/>
          <w:color w:val="666666"/>
          <w:sz w:val="18"/>
        </w:rPr>
        <w:t>Valsecchi AA et al.  ·  Oncologist  ·  09.09.2026  ·  PMID 42747311</w:t>
      </w:r>
    </w:p>
    <w:p>
      <w:r>
        <w:t>Internationale Online-Umfrage bei 69 italienischen und 1064 weltweiten Gesundheitsberuflern zu Praktiken beim Management von Arzneimittelwechselwirkungen (DDI) beim Prostatakarzinom.</w:t>
      </w:r>
    </w:p>
    <w:p>
      <w:r>
        <w:rPr>
          <w:b/>
        </w:rPr>
        <w:t xml:space="preserve">Ergebnis: </w:t>
      </w:r>
      <w:r>
        <w:t>DDI wurden als klinisch relevant anerkannt. Digitale Werkzeuge (Online-Datenbanken, Apps) am häufigsten; KI-Tools selten. Italienische Onkologen berichteten begrenzte Vor-Ort-Pharmacolog-Unterstützung (29 %), weltweit 76 %. Hauptbarrieren: Zeitdruck, unsichere Quellenzuverlässigkeit, Mangel an Schulung. Italienische Ärzte forderten mehr Pharmacolog-Zugang; globale Kohorten: institutionelle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 haben oft Pharmakolog-Support; zentrale Erkenntnisse zur DDI-Managementlücke und Schulungsbedarf übertragbar.</w:t>
      </w:r>
    </w:p>
    <w:p>
      <w:r>
        <w:rPr>
          <w:color w:val="5A7D3A"/>
          <w:sz w:val="18"/>
        </w:rPr>
        <w:t>https://pubmed.ncbi.nlm.nih.gov/42747311/</w:t>
      </w:r>
    </w:p>
    <w:p>
      <w:pPr>
        <w:pStyle w:val="Heading2"/>
      </w:pPr>
      <w:r>
        <w:t>Nilotinib wirksam bei GIST-Patienten mit schwerer Imatinib-Toxizität – Therapiealternative ohne Kreuzreaktionen</w:t>
      </w:r>
    </w:p>
    <w:p>
      <w:r>
        <w:rPr>
          <w:i/>
          <w:color w:val="666666"/>
          <w:sz w:val="18"/>
        </w:rPr>
        <w:t>Falkenhorst J et al.  ·  Oncologist  ·  09.09.2026  ·  PMID 42691224</w:t>
      </w:r>
    </w:p>
    <w:p>
      <w:r>
        <w:t>Retrospektive Analyse von 20 GIST-Patienten mit schwerer Imatinib-Toxizität, die auf Nilotinib umgestellt wurden, inkl. In-vitro-Testung an Zelllinien mit KIT-Mutationen.</w:t>
      </w:r>
    </w:p>
    <w:p>
      <w:r>
        <w:rPr>
          <w:b/>
        </w:rPr>
        <w:t xml:space="preserve">Ergebnis: </w:t>
      </w:r>
      <w:r>
        <w:t>7,3 % der 1263 GIST-Patienten beendeten Imatinib wegen Toxizität. In 20 Patienten mit Nilotinib-Therapie zeigten sich keine Kreuzreaktivitäten mit Imatinib: Bei KIT-Exon-11-Mutationen wirksam, bei Exon-9- oder imatinib-resistenten Mutationen nicht. Nilotinib ist damit eine wichtige Alternative für imatinib-sensitive GIST.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GIST-Zentren können diese Therapieoption bei Imatinib-Unverträglichkeit einsetzen.</w:t>
      </w:r>
    </w:p>
    <w:p>
      <w:r>
        <w:rPr>
          <w:color w:val="5A7D3A"/>
          <w:sz w:val="18"/>
        </w:rPr>
        <w:t>https://pubmed.ncbi.nlm.nih.gov/42691224/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