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10.10.2026  |  5 Studien  |  onkologie.m-vf.de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Digital Breast Tomosynthesis senkt Intervallkrebsrate um etwa 24 Prozent</w:t>
      </w:r>
    </w:p>
    <w:p>
      <w:r>
        <w:rPr>
          <w:i/>
          <w:color w:val="666666"/>
          <w:sz w:val="18"/>
        </w:rPr>
        <w:t>Weigel S et al.  ·  Lancet Oncol  ·  09.10.2026  ·  PMID 42854706</w:t>
      </w:r>
    </w:p>
    <w:p>
      <w:r>
        <w:t>Randomisierte Studie verglich Digital Breast Tomosynthesis plus synthetisierte Mammographie versus digitale Mammographie im Screening bei 99.558 Frauen (50-70 Jahre) in Deutschland mit 24 Monaten Nachverfolgung.</w:t>
      </w:r>
    </w:p>
    <w:p>
      <w:r>
        <w:rPr>
          <w:b/>
        </w:rPr>
        <w:t xml:space="preserve">Ergebnis: </w:t>
      </w:r>
      <w:r>
        <w:t>Invasive Intervallkrebsrate 14,2 pro 10.000 (DBT-Gruppe) versus 18,6 pro 10.000 (digitale Mammographie); OR 0,76 (95% KI 0,55-1,06; p=0,11). Bei 12 Monaten signifikant: 4,5 versus 6,3 pro 10.000 (OR 0,71; p&lt;0,05). Etwa ein Viertel der Intervallkrebse könnte vermieden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Multicenterstudie, deutsche Gesundheitsdaten direkt übertragbar</w:t>
      </w:r>
    </w:p>
    <w:p>
      <w:r>
        <w:rPr>
          <w:color w:val="5A7D3A"/>
          <w:sz w:val="18"/>
        </w:rPr>
        <w:t>https://pubmed.ncbi.nlm.nih.gov/42854706/</w:t>
      </w:r>
    </w:p>
    <w:p>
      <w:pPr>
        <w:pStyle w:val="Heading2"/>
      </w:pPr>
      <w:r>
        <w:t>Toripalimab mit Chemotherapie bei B3-Thymom und Thymuskarziom: Progression-freies Überleben 19,3 Monate</w:t>
      </w:r>
    </w:p>
    <w:p>
      <w:r>
        <w:rPr>
          <w:i/>
          <w:color w:val="666666"/>
          <w:sz w:val="18"/>
        </w:rPr>
        <w:t>Zhu K et al.  ·  ESMO Open  ·  08.10.2026  ·  PMID 42854640</w:t>
      </w:r>
    </w:p>
    <w:p>
      <w:r>
        <w:t>Phase-II-Studie (24 Patienten mit nicht resezierbarem B3-Thymom oder Thymuskarziom) mit Paclitaxel, Carboplatin plus Toripalimab (PD-L1-Inhibitor) in bis zu 6 Zyklen, dann Toripalimab-Erhaltung bis Progression.</w:t>
      </w:r>
    </w:p>
    <w:p>
      <w:r>
        <w:rPr>
          <w:b/>
        </w:rPr>
        <w:t xml:space="preserve">Ergebnis: </w:t>
      </w:r>
      <w:r>
        <w:t>Medianes Progression-freies Überleben 19,3 Monate (95% KI 12,8-25,8). Objektive Ansprechrate 37,5% (KI 18,8-59,4%), komplette Krankheitskontrolle 100%. Grad 3-4 behandlungsbedingte Nebenwirkungen bei 50,0%; Grad ≥3 immunbedingte unerwünschte Ereignisse bei 4,2%. Höhere PD-L1-Expression und spezifische Tumor-Mikroumgebungsmuster assoziiert mit besserem Outcome.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Phase-II-Daten erfordern randomisierte Bestätigung vor deutschem Einsatz</w:t>
      </w:r>
    </w:p>
    <w:p>
      <w:r>
        <w:rPr>
          <w:color w:val="5A7D3A"/>
          <w:sz w:val="18"/>
        </w:rPr>
        <w:t>https://pubmed.ncbi.nlm.nih.gov/42854640/</w:t>
      </w:r>
    </w:p>
    <w:p>
      <w:pPr>
        <w:pStyle w:val="Heading2"/>
      </w:pPr>
      <w:r>
        <w:t>Früherkennung von Bauchspeicheldrüsenkrebs – gleiche Überlebenschancen trotz fortgeschrittener Erkrankung</w:t>
      </w:r>
    </w:p>
    <w:p>
      <w:r>
        <w:rPr>
          <w:i/>
          <w:color w:val="666666"/>
          <w:sz w:val="18"/>
        </w:rPr>
        <w:t>Ruze R et al.  ·  J Natl Cancer Inst  ·  09.10.2026  ·  PMID 42853071</w:t>
      </w:r>
    </w:p>
    <w:p>
      <w:r>
        <w:t>Systematische Übersichtsarbeit und Metaanalyse von 48 Studien (1.659.432 Patienten, davon 695.936 ohne Überschneidung) verglich früh auftretenden Pankreaskrebs (EOPC) mit altersgruppenüblichem Krebs (AOPC).</w:t>
      </w:r>
    </w:p>
    <w:p>
      <w:r>
        <w:rPr>
          <w:b/>
        </w:rPr>
        <w:t xml:space="preserve">Ergebnis: </w:t>
      </w:r>
      <w:r>
        <w:t>EOPC-Patienten: niedrigere Diabetesrate (OR 0,39; 95% KI 0,21-0,72), fortgeschrittenere Erkrankung (Stadium IV: OR 1,18; KI 1,02-1,36), höhere Chemotherapienutzung (OR 2,04; KI 1,69-2,45; p&lt;0,001), aber vergleichbares Gesamtüberleben (HR 1,03; KI 0,86-1,23; p=0,76). Geringe Evidenzsicherheit für alle Outcomes.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Metaanalyse; zeigt Ansatz für gleichberechtigten Zugang zu intensiver Therapie bei frühem Alter</w:t>
      </w:r>
    </w:p>
    <w:p>
      <w:r>
        <w:rPr>
          <w:color w:val="5A7D3A"/>
          <w:sz w:val="18"/>
        </w:rPr>
        <w:t>https://pubmed.ncbi.nlm.nih.gov/42853071/</w:t>
      </w:r>
    </w:p>
    <w:p>
      <w:pPr>
        <w:pStyle w:val="Heading2"/>
      </w:pPr>
      <w:r>
        <w:t>HER2-positive Brustkrebs: Trastuzumab Deruxtecan verschiebt Behandlungsparadigmen in frühere Linien</w:t>
      </w:r>
    </w:p>
    <w:p>
      <w:r>
        <w:rPr>
          <w:i/>
          <w:color w:val="666666"/>
          <w:sz w:val="18"/>
        </w:rPr>
        <w:t>Tarantino P et al.  ·  Nat Rev Clin Oncol  ·  08.10.2026  ·  PMID 42850399</w:t>
      </w:r>
    </w:p>
    <w:p>
      <w:r>
        <w:t>Narrative Übersichtsarbeit zur Therapieevolution bei HER2-positivem Brustkrebs, einschließlich Neoadjuvanz, Adjuvanz und metastasierter Erkrankung mit Fokus auf Sequenzierung und Risikorisiko-Stratifizierung.</w:t>
      </w:r>
    </w:p>
    <w:p>
      <w:r>
        <w:rPr>
          <w:b/>
        </w:rPr>
        <w:t xml:space="preserve">Ergebnis: </w:t>
      </w:r>
      <w:r>
        <w:t>Trastuzumab Deruxtecan als Antibody-Drug-Conjugate verbessert Outcomes und wird zunehmend in frühere Behandlungslinien verschoben. Zentrale Herausforderung: Identifikation optimaler Sequenzierung, Retreatment-Strategien und Patienten für Therapieintensivierung. Tissue-, Plasma- und bildgebungsbasierte Biomarker beginnend, vielversprechendes klinisches Implementierungspotenzial für Risikoadaptation und De-Eskalation.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Expertenübersicht; medizinische Evidenzbasis für deutsches Gesundheitssystem übertragbar</w:t>
      </w:r>
    </w:p>
    <w:p>
      <w:r>
        <w:rPr>
          <w:color w:val="5A7D3A"/>
          <w:sz w:val="18"/>
        </w:rPr>
        <w:t>https://pubmed.ncbi.nlm.nih.gov/42850399/</w:t>
      </w:r>
    </w:p>
    <w:p>
      <w:pPr>
        <w:pStyle w:val="Heading2"/>
      </w:pPr>
      <w:r>
        <w:t>Mehr Chemotherapiezyklen in Radiochemotherapie verlängern Gesamtüberleben ohne mehr Toxizität</w:t>
      </w:r>
    </w:p>
    <w:p>
      <w:r>
        <w:rPr>
          <w:i/>
          <w:color w:val="666666"/>
          <w:sz w:val="18"/>
        </w:rPr>
        <w:t>Simbirova A et al.  ·  Strahlenther Onkol  ·  08.10.2026  ·  PMID 42850392</w:t>
      </w:r>
    </w:p>
    <w:p>
      <w:r>
        <w:t>Retrospektive Analyse von 90 Patienten mit lokal fortgeschrittenem NSCLC (Stadium IIB-IIIC) unter definitiver Radiochemotherapie (56-66 Gy mit wöchentlichem Carboplatin/Paclitaxel), 50 mit nachfolgender Durvalumab-Konsolidierung.</w:t>
      </w:r>
    </w:p>
    <w:p>
      <w:r>
        <w:rPr>
          <w:b/>
        </w:rPr>
        <w:t xml:space="preserve">Ergebnis: </w:t>
      </w:r>
      <w:r>
        <w:t>Patienten mit 5-7 Chemotherapiezyklen: signifikant längeres OS als 1-4 Zyklen (p=0,048); Hazard Ratio 0,75 pro zusätzlichem Zyklus (p=0,017). Keine signifikante Steigerung früher oder später Grad-≥2-Toxizität. Frühe Grad-≥2-Anämie (27,8%) assoziiert mit schlechterer Prognose (p=0,006).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Dresden, vergleichbare Behandlungsstandards</w:t>
      </w:r>
    </w:p>
    <w:p>
      <w:r>
        <w:rPr>
          <w:color w:val="5A7D3A"/>
          <w:sz w:val="18"/>
        </w:rPr>
        <w:t>https://pubmed.ncbi.nlm.nih.gov/42850392/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