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Onkologie</w:t>
      </w:r>
    </w:p>
    <w:p>
      <w:r>
        <w:rPr>
          <w:i/>
          <w:color w:val="666666"/>
          <w:sz w:val="18"/>
        </w:rPr>
        <w:t>Stand: 10.10.2026  |  194 Studien  |  onkologie.m-vf.de</w:t>
      </w:r>
    </w:p>
    <w:p>
      <w:pPr>
        <w:pStyle w:val="Heading1"/>
      </w:pPr>
      <w:r>
        <w:t>Aufgenommen am 10.10.2026</w:t>
      </w:r>
    </w:p>
    <w:p>
      <w:pPr>
        <w:pStyle w:val="Heading2"/>
      </w:pPr>
      <w:r>
        <w:t>Digital Breast Tomosynthesis senkt Intervallkrebsrate um etwa 24 Prozent</w:t>
      </w:r>
    </w:p>
    <w:p>
      <w:r>
        <w:rPr>
          <w:i/>
          <w:color w:val="666666"/>
          <w:sz w:val="18"/>
        </w:rPr>
        <w:t>Weigel S et al.  ·  Lancet Oncol  ·  09.10.2026  ·  PMID 42854706</w:t>
      </w:r>
    </w:p>
    <w:p>
      <w:r>
        <w:t>Randomisierte Studie verglich Digital Breast Tomosynthesis plus synthetisierte Mammographie versus digitale Mammographie im Screening bei 99.558 Frauen (50-70 Jahre) in Deutschland mit 24 Monaten Nachverfolgung.</w:t>
      </w:r>
    </w:p>
    <w:p>
      <w:r>
        <w:rPr>
          <w:b/>
        </w:rPr>
        <w:t xml:space="preserve">Ergebnis: </w:t>
      </w:r>
      <w:r>
        <w:t>Invasive Intervallkrebsrate 14,2 pro 10.000 (DBT-Gruppe) versus 18,6 pro 10.000 (digitale Mammographie); OR 0,76 (95% KI 0,55-1,06; p=0,11). Bei 12 Monaten signifikant: 4,5 versus 6,3 pro 10.000 (OR 0,71; p&lt;0,05). Etwa ein Viertel der Intervallkrebse könnte vermieden werden.</w:t>
      </w:r>
    </w:p>
    <w:p>
      <w:r>
        <w:rPr>
          <w:b/>
          <w:sz w:val="19"/>
        </w:rPr>
        <w:t xml:space="preserve">Übertragbarkeit: </w:t>
      </w:r>
      <w:r>
        <w:rPr>
          <w:sz w:val="19"/>
        </w:rPr>
        <w:t>Deutsche Multicenterstudie, deutsche Gesundheitsdaten direkt übertragbar</w:t>
      </w:r>
    </w:p>
    <w:p>
      <w:r>
        <w:rPr>
          <w:color w:val="5A7D3A"/>
          <w:sz w:val="18"/>
        </w:rPr>
        <w:t>https://pubmed.ncbi.nlm.nih.gov/42854706/</w:t>
      </w:r>
    </w:p>
    <w:p>
      <w:pPr>
        <w:pStyle w:val="Heading2"/>
      </w:pPr>
      <w:r>
        <w:t>Toripalimab mit Chemotherapie bei B3-Thymom und Thymuskarziom: Progression-freies Überleben 19,3 Monate</w:t>
      </w:r>
    </w:p>
    <w:p>
      <w:r>
        <w:rPr>
          <w:i/>
          <w:color w:val="666666"/>
          <w:sz w:val="18"/>
        </w:rPr>
        <w:t>Zhu K et al.  ·  ESMO Open  ·  08.10.2026  ·  PMID 42854640</w:t>
      </w:r>
    </w:p>
    <w:p>
      <w:r>
        <w:t>Phase-II-Studie (24 Patienten mit nicht resezierbarem B3-Thymom oder Thymuskarziom) mit Paclitaxel, Carboplatin plus Toripalimab (PD-L1-Inhibitor) in bis zu 6 Zyklen, dann Toripalimab-Erhaltung bis Progression.</w:t>
      </w:r>
    </w:p>
    <w:p>
      <w:r>
        <w:rPr>
          <w:b/>
        </w:rPr>
        <w:t xml:space="preserve">Ergebnis: </w:t>
      </w:r>
      <w:r>
        <w:t>Medianes Progression-freies Überleben 19,3 Monate (95% KI 12,8-25,8). Objektive Ansprechrate 37,5% (KI 18,8-59,4%), komplette Krankheitskontrolle 100%. Grad 3-4 behandlungsbedingte Nebenwirkungen bei 50,0%; Grad ≥3 immunbedingte unerwünschte Ereignisse bei 4,2%. Höhere PD-L1-Expression und spezifische Tumor-Mikroumgebungsmuster assoziiert mit besserem Outcome.</w:t>
      </w:r>
    </w:p>
    <w:p>
      <w:r>
        <w:rPr>
          <w:b/>
          <w:sz w:val="19"/>
        </w:rPr>
        <w:t xml:space="preserve">Übertragbarkeit: </w:t>
      </w:r>
      <w:r>
        <w:rPr>
          <w:sz w:val="19"/>
        </w:rPr>
        <w:t>China; Phase-II-Daten erfordern randomisierte Bestätigung vor deutschem Einsatz</w:t>
      </w:r>
    </w:p>
    <w:p>
      <w:r>
        <w:rPr>
          <w:color w:val="5A7D3A"/>
          <w:sz w:val="18"/>
        </w:rPr>
        <w:t>https://pubmed.ncbi.nlm.nih.gov/42854640/</w:t>
      </w:r>
    </w:p>
    <w:p>
      <w:pPr>
        <w:pStyle w:val="Heading2"/>
      </w:pPr>
      <w:r>
        <w:t>Früherkennung von Bauchspeicheldrüsenkrebs – gleiche Überlebenschancen trotz fortgeschrittener Erkrankung</w:t>
      </w:r>
    </w:p>
    <w:p>
      <w:r>
        <w:rPr>
          <w:i/>
          <w:color w:val="666666"/>
          <w:sz w:val="18"/>
        </w:rPr>
        <w:t>Ruze R et al.  ·  J Natl Cancer Inst  ·  09.10.2026  ·  PMID 42853071</w:t>
      </w:r>
    </w:p>
    <w:p>
      <w:r>
        <w:t>Systematische Übersichtsarbeit und Metaanalyse von 48 Studien (1.659.432 Patienten, davon 695.936 ohne Überschneidung) verglich früh auftretenden Pankreaskrebs (EOPC) mit altersgruppenüblichem Krebs (AOPC).</w:t>
      </w:r>
    </w:p>
    <w:p>
      <w:r>
        <w:rPr>
          <w:b/>
        </w:rPr>
        <w:t xml:space="preserve">Ergebnis: </w:t>
      </w:r>
      <w:r>
        <w:t>EOPC-Patienten: niedrigere Diabetesrate (OR 0,39; 95% KI 0,21-0,72), fortgeschrittenere Erkrankung (Stadium IV: OR 1,18; KI 1,02-1,36), höhere Chemotherapienutzung (OR 2,04; KI 1,69-2,45; p&lt;0,001), aber vergleichbares Gesamtüberleben (HR 1,03; KI 0,86-1,23; p=0,76). Geringe Evidenzsicherheit für alle Outcomes.</w:t>
      </w:r>
    </w:p>
    <w:p>
      <w:r>
        <w:rPr>
          <w:b/>
          <w:sz w:val="19"/>
        </w:rPr>
        <w:t xml:space="preserve">Übertragbarkeit: </w:t>
      </w:r>
      <w:r>
        <w:rPr>
          <w:sz w:val="19"/>
        </w:rPr>
        <w:t>Internationale Metaanalyse; zeigt Ansatz für gleichberechtigten Zugang zu intensiver Therapie bei frühem Alter</w:t>
      </w:r>
    </w:p>
    <w:p>
      <w:r>
        <w:rPr>
          <w:color w:val="5A7D3A"/>
          <w:sz w:val="18"/>
        </w:rPr>
        <w:t>https://pubmed.ncbi.nlm.nih.gov/42853071/</w:t>
      </w:r>
    </w:p>
    <w:p>
      <w:pPr>
        <w:pStyle w:val="Heading2"/>
      </w:pPr>
      <w:r>
        <w:t>HER2-positive Brustkrebs: Trastuzumab Deruxtecan verschiebt Behandlungsparadigmen in frühere Linien</w:t>
      </w:r>
    </w:p>
    <w:p>
      <w:r>
        <w:rPr>
          <w:i/>
          <w:color w:val="666666"/>
          <w:sz w:val="18"/>
        </w:rPr>
        <w:t>Tarantino P et al.  ·  Nat Rev Clin Oncol  ·  08.10.2026  ·  PMID 42850399</w:t>
      </w:r>
    </w:p>
    <w:p>
      <w:r>
        <w:t>Narrative Übersichtsarbeit zur Therapieevolution bei HER2-positivem Brustkrebs, einschließlich Neoadjuvanz, Adjuvanz und metastasierter Erkrankung mit Fokus auf Sequenzierung und Risikorisiko-Stratifizierung.</w:t>
      </w:r>
    </w:p>
    <w:p>
      <w:r>
        <w:rPr>
          <w:b/>
        </w:rPr>
        <w:t xml:space="preserve">Ergebnis: </w:t>
      </w:r>
      <w:r>
        <w:t>Trastuzumab Deruxtecan als Antibody-Drug-Conjugate verbessert Outcomes und wird zunehmend in frühere Behandlungslinien verschoben. Zentrale Herausforderung: Identifikation optimaler Sequenzierung, Retreatment-Strategien und Patienten für Therapieintensivierung. Tissue-, Plasma- und bildgebungsbasierte Biomarker beginnend, vielversprechendes klinisches Implementierungspotenzial für Risikoadaptation und De-Eskalation.</w:t>
      </w:r>
    </w:p>
    <w:p>
      <w:r>
        <w:rPr>
          <w:b/>
          <w:sz w:val="19"/>
        </w:rPr>
        <w:t xml:space="preserve">Übertragbarkeit: </w:t>
      </w:r>
      <w:r>
        <w:rPr>
          <w:sz w:val="19"/>
        </w:rPr>
        <w:t>Internationale Expertenübersicht; medizinische Evidenzbasis für deutsches Gesundheitssystem übertragbar</w:t>
      </w:r>
    </w:p>
    <w:p>
      <w:r>
        <w:rPr>
          <w:color w:val="5A7D3A"/>
          <w:sz w:val="18"/>
        </w:rPr>
        <w:t>https://pubmed.ncbi.nlm.nih.gov/42850399/</w:t>
      </w:r>
    </w:p>
    <w:p>
      <w:pPr>
        <w:pStyle w:val="Heading2"/>
      </w:pPr>
      <w:r>
        <w:t>Mehr Chemotherapiezyklen in Radiochemotherapie verlängern Gesamtüberleben ohne mehr Toxizität</w:t>
      </w:r>
    </w:p>
    <w:p>
      <w:r>
        <w:rPr>
          <w:i/>
          <w:color w:val="666666"/>
          <w:sz w:val="18"/>
        </w:rPr>
        <w:t>Simbirova A et al.  ·  Strahlenther Onkol  ·  08.10.2026  ·  PMID 42850392</w:t>
      </w:r>
    </w:p>
    <w:p>
      <w:r>
        <w:t>Retrospektive Analyse von 90 Patienten mit lokal fortgeschrittenem NSCLC (Stadium IIB-IIIC) unter definitiver Radiochemotherapie (56-66 Gy mit wöchentlichem Carboplatin/Paclitaxel), 50 mit nachfolgender Durvalumab-Konsolidierung.</w:t>
      </w:r>
    </w:p>
    <w:p>
      <w:r>
        <w:rPr>
          <w:b/>
        </w:rPr>
        <w:t xml:space="preserve">Ergebnis: </w:t>
      </w:r>
      <w:r>
        <w:t>Patienten mit 5-7 Chemotherapiezyklen: signifikant längeres OS als 1-4 Zyklen (p=0,048); Hazard Ratio 0,75 pro zusätzlichem Zyklus (p=0,017). Keine signifikante Steigerung früher oder später Grad-≥2-Toxizität. Frühe Grad-≥2-Anämie (27,8%) assoziiert mit schlechterer Prognose (p=0,006).</w:t>
      </w:r>
    </w:p>
    <w:p>
      <w:r>
        <w:rPr>
          <w:b/>
          <w:sz w:val="19"/>
        </w:rPr>
        <w:t xml:space="preserve">Übertragbarkeit: </w:t>
      </w:r>
      <w:r>
        <w:rPr>
          <w:sz w:val="19"/>
        </w:rPr>
        <w:t>Deutsche Universitätsklinik Dresden, vergleichbare Behandlungsstandards</w:t>
      </w:r>
    </w:p>
    <w:p>
      <w:r>
        <w:rPr>
          <w:color w:val="5A7D3A"/>
          <w:sz w:val="18"/>
        </w:rPr>
        <w:t>https://pubmed.ncbi.nlm.nih.gov/42850392/</w:t>
      </w:r>
    </w:p>
    <w:p>
      <w:pPr>
        <w:pStyle w:val="Heading1"/>
      </w:pPr>
      <w:r>
        <w:t>Aufgenommen am 09.10.2026</w:t>
      </w:r>
    </w:p>
    <w:p>
      <w:pPr>
        <w:pStyle w:val="Heading2"/>
      </w:pPr>
      <w:r>
        <w:t>Sozioökonomischer Status und Kognition nach Kinderhirntumor: schwedische Kohortenstudie</w:t>
      </w:r>
    </w:p>
    <w:p>
      <w:r>
        <w:rPr>
          <w:i/>
          <w:color w:val="666666"/>
          <w:sz w:val="18"/>
        </w:rPr>
        <w:t>Beamish J et al.  ·  Neuro Oncol  ·  08.10.2026  ·  PMID 42848686</w:t>
      </w:r>
    </w:p>
    <w:p>
      <w:r>
        <w:t>Bevölkerungsbasierte Registry-Studie mit 461 schwedischen Kindern (Diagnose 2008-2023) zu Zusammenhang zwischen Sozioökonomischem Status (Elternbildung, Einkommen, Beruf) und neurokognitiven Ergebnissen bis 5 Jahre post-diagnose.</w:t>
      </w:r>
    </w:p>
    <w:p>
      <w:r>
        <w:rPr>
          <w:b/>
        </w:rPr>
        <w:t xml:space="preserve">Ergebnis: </w:t>
      </w:r>
      <w:r>
        <w:t>Höherer SES assoziiert mit besseren z-Scores bei Verarbeitungsgeschwindigkeit (+0,23), Arbeitsgedächtnis (+0,25), nonverbalem Reasoning (+0,29) und Gesamtkognition (+0,42). Längere Zeit seit Diagnose mit Rückgang Verarbeitungsgeschwindigkeit und verbalem Reasoning. Keine Interaktion zwischen SES und Abnahmeraten, was auf reduzierte kognitive Reserve statt erhöhte Treatment-Toxizität hinweist.</w:t>
      </w:r>
    </w:p>
    <w:p>
      <w:r>
        <w:rPr>
          <w:b/>
          <w:sz w:val="19"/>
        </w:rPr>
        <w:t xml:space="preserve">Übertragbarkeit: </w:t>
      </w:r>
      <w:r>
        <w:rPr>
          <w:sz w:val="19"/>
        </w:rPr>
        <w:t>Schwedisches universales Gesundheitssystem, vergleichbar mit deutschem System und Survivalship-Dateninfrastruktur.</w:t>
      </w:r>
    </w:p>
    <w:p>
      <w:r>
        <w:rPr>
          <w:color w:val="5A7D3A"/>
          <w:sz w:val="18"/>
        </w:rPr>
        <w:t>https://pubmed.ncbi.nlm.nih.gov/42848686/</w:t>
      </w:r>
    </w:p>
    <w:p>
      <w:pPr>
        <w:pStyle w:val="Heading2"/>
      </w:pPr>
      <w:r>
        <w:t>Brain-Metastasis-Risikokalkulator für frühen Brustkrebs validiert</w:t>
      </w:r>
    </w:p>
    <w:p>
      <w:r>
        <w:rPr>
          <w:i/>
          <w:color w:val="666666"/>
          <w:sz w:val="18"/>
        </w:rPr>
        <w:t>Raghavendra AS et al.  ·  J Natl Cancer Inst  ·  08.10.2026  ·  PMID 42848614</w:t>
      </w:r>
    </w:p>
    <w:p>
      <w:r>
        <w:t>Entwicklung und Validierung eines klinischen Vorhersagemodells (BrMR) für Hirnmetastasen-Risiko bei Stadium-I-III-Brustkrebs basierend auf 40.282 Trainings- und 1.644 Validierungspatienten.</w:t>
      </w:r>
    </w:p>
    <w:p>
      <w:r>
        <w:rPr>
          <w:b/>
        </w:rPr>
        <w:t xml:space="preserve">Ergebnis: </w:t>
      </w:r>
      <w:r>
        <w:t>C-Index 0,79 (Training), 0,76 (Validierung); AUROC 0,81/0,79/0,76/0,75 nach 4/6/8/10 Jahren. HER2-Positivität, hohes Ki-67, inflammatorischer Typ und höherer T/N-Status erhöhten Risiko; ER/PR-Positivität, höheres Alter und endokrine Therapie senkten es.</w:t>
      </w:r>
    </w:p>
    <w:p>
      <w:r>
        <w:rPr>
          <w:b/>
          <w:sz w:val="19"/>
        </w:rPr>
        <w:t xml:space="preserve">Übertragbarkeit: </w:t>
      </w:r>
      <w:r>
        <w:rPr>
          <w:sz w:val="19"/>
        </w:rPr>
        <w:t>Validiert in Belgien (Institut Jules Bordet), Datengrundlage für deutsches System adaptierbar.</w:t>
      </w:r>
    </w:p>
    <w:p>
      <w:r>
        <w:rPr>
          <w:color w:val="5A7D3A"/>
          <w:sz w:val="18"/>
        </w:rPr>
        <w:t>https://pubmed.ncbi.nlm.nih.gov/42848614/</w:t>
      </w:r>
    </w:p>
    <w:p>
      <w:pPr>
        <w:pStyle w:val="Heading2"/>
      </w:pPr>
      <w:r>
        <w:t>Preinvasive regulatorische T-Zellen bei Lungenkrebsentstehung: Interventionsziel</w:t>
      </w:r>
    </w:p>
    <w:p>
      <w:r>
        <w:rPr>
          <w:i/>
          <w:color w:val="666666"/>
          <w:sz w:val="18"/>
        </w:rPr>
        <w:t>Gamble S et al.  ·  Nature  ·  07.10.2026  ·  PMID 42844481</w:t>
      </w:r>
    </w:p>
    <w:p>
      <w:r>
        <w:t>Multi-omische Studie mit Bronchoskopie und CT-Bildgebung an Patienten mit preinvasiven Lungenschleimhaut-Läsionen: Identifikation von effektiven regulatorischen CD4+-T-Zellen (eTreg, BATF+) als Frühmarker und therapeutisches Ziel.</w:t>
      </w:r>
    </w:p>
    <w:p>
      <w:r>
        <w:rPr>
          <w:b/>
        </w:rPr>
        <w:t xml:space="preserve">Ergebnis: </w:t>
      </w:r>
      <w:r>
        <w:t>eTreg-Zellen reicherten sich in hochgradigen Läsionen an und korrelierten mit zirkulierenden eTreg-Zellen. Bei Mäusen reduzierte PI3Kδ-Inhibition eTreg-reiche tertiäre lymphoide Strukturen (iTLS), senkte Lungentumoranzahl und -größe. Circulating eTreg-Zellen ermöglichten nicht-invasive Verfolgung der Tumorprogression. eTreg-Achse gekennzeichnet schnelle Progression in frühem NSCLC (CT-Screening).</w:t>
      </w:r>
    </w:p>
    <w:p>
      <w:r>
        <w:rPr>
          <w:b/>
          <w:sz w:val="19"/>
        </w:rPr>
        <w:t xml:space="preserve">Übertragbarkeit: </w:t>
      </w:r>
      <w:r>
        <w:rPr>
          <w:sz w:val="19"/>
        </w:rPr>
        <w:t>UK-Studie (UCL), Mechanismus und Biomarker übertragbar; klinische Anwendung erfordert deutsche Validierung.</w:t>
      </w:r>
    </w:p>
    <w:p>
      <w:r>
        <w:rPr>
          <w:color w:val="5A7D3A"/>
          <w:sz w:val="18"/>
        </w:rPr>
        <w:t>https://pubmed.ncbi.nlm.nih.gov/42844481/</w:t>
      </w:r>
    </w:p>
    <w:p>
      <w:pPr>
        <w:pStyle w:val="Heading2"/>
      </w:pPr>
      <w:r>
        <w:t>Single-Item-Maße für wahrgenommene Therapienebenwirkungen: Scoping Review</w:t>
      </w:r>
    </w:p>
    <w:p>
      <w:r>
        <w:rPr>
          <w:i/>
          <w:color w:val="666666"/>
          <w:sz w:val="18"/>
        </w:rPr>
        <w:t>Jones T et al.  ·  Eur J Cancer  ·  04.10.2026  ·  PMID 42843209</w:t>
      </w:r>
    </w:p>
    <w:p>
      <w:r>
        <w:t>Systematische Analyse zu Einsatz, psychometrischen Eigenschaften und Validität von Single-Item-Fragebögen (EORTC Q168, FACIT GP5) für Treatment-Related Symptom Burden in Krebsstudien.</w:t>
      </w:r>
    </w:p>
    <w:p>
      <w:r>
        <w:rPr>
          <w:b/>
        </w:rPr>
        <w:t xml:space="preserve">Ergebnis: </w:t>
      </w:r>
      <w:r>
        <w:t>67 publizierte Studien und 74 klinische Trials eingeschlossen. FACIT GP5 breiter eingesetzt über Tumortypen (n=27 psychometrische Studien), EORTC Q168 konzentriert auf Pankreas- und Gallenblasenkrebs (n=2). Nachweise für Validität, Reliabilität, Responsiveness, aber konzeptionelle Limitationen bleiben (Symptomzuordnung zu Therapie vs. Erkrankung unklar).</w:t>
      </w:r>
    </w:p>
    <w:p>
      <w:r>
        <w:rPr>
          <w:b/>
          <w:sz w:val="19"/>
        </w:rPr>
        <w:t xml:space="preserve">Übertragbarkeit: </w:t>
      </w:r>
      <w:r>
        <w:rPr>
          <w:sz w:val="19"/>
        </w:rPr>
        <w:t>Europäische Autorengruppe (EORTC), auf deutsche Studien und Zentrenprotokolle direkt anwendbar.</w:t>
      </w:r>
    </w:p>
    <w:p>
      <w:r>
        <w:rPr>
          <w:color w:val="5A7D3A"/>
          <w:sz w:val="18"/>
        </w:rPr>
        <w:t>https://pubmed.ncbi.nlm.nih.gov/42843209/</w:t>
      </w:r>
    </w:p>
    <w:p>
      <w:pPr>
        <w:pStyle w:val="Heading2"/>
      </w:pPr>
      <w:r>
        <w:t>Metastase-gerichtete Ablation im Frühstadium bringt keinen OS-Gewinn bei oligometastasiertem Brustkrebs</w:t>
      </w:r>
    </w:p>
    <w:p>
      <w:r>
        <w:rPr>
          <w:i/>
          <w:color w:val="666666"/>
          <w:sz w:val="18"/>
        </w:rPr>
        <w:t>Chmura SJ et al.  ·  J Clin Oncol  ·  07.10.2026  ·  PMID 42842849</w:t>
      </w:r>
    </w:p>
    <w:p>
      <w:r>
        <w:t>Randomisierte Phase-II/III-Studie (NRG-BR002) mit 125 Patienten (≤4 Metastasen, ≤12 Monate erste systemische Therapie): Metastase-gerichtete Ablation (SBRT/Chirurgie) + Systemtherapie versus nur Systemtherapie als Kontroll.</w:t>
      </w:r>
    </w:p>
    <w:p>
      <w:r>
        <w:rPr>
          <w:b/>
        </w:rPr>
        <w:t xml:space="preserve">Ergebnis: </w:t>
      </w:r>
      <w:r>
        <w:t>Medianes progressionsfreies Überleben: 19,5 Monate (Ablation) vs. 23,0 Monate (nur Systemtherapie); HR 0,92 (70%-KI 0,71-1,17, einseitig p=0,36). Studie schritt nicht zu Phase III vor. OS kein signifikanter Unterschied (HR 1,07, p=0,41). Explorative Analyse: möglicher Vorteil bei niedrigen/fehlenden CTCs. Keine Grade-5-Toxizitäten.</w:t>
      </w:r>
    </w:p>
    <w:p>
      <w:r>
        <w:rPr>
          <w:b/>
          <w:sz w:val="19"/>
        </w:rPr>
        <w:t xml:space="preserve">Übertragbarkeit: </w:t>
      </w:r>
      <w:r>
        <w:rPr>
          <w:sz w:val="19"/>
        </w:rPr>
        <w:t>Nordamerikanische multizentrische RCT (USA/Kanada), Patientenpopulation und Endpoints für deutsches System relevant.</w:t>
      </w:r>
    </w:p>
    <w:p>
      <w:r>
        <w:rPr>
          <w:color w:val="5A7D3A"/>
          <w:sz w:val="18"/>
        </w:rPr>
        <w:t>https://pubmed.ncbi.nlm.nih.gov/42842849/</w:t>
      </w:r>
    </w:p>
    <w:p>
      <w:pPr>
        <w:pStyle w:val="Heading2"/>
      </w:pPr>
      <w:r>
        <w:t>Adjuvante Radiotherapie reduziert Rezidive bei atypischen Meningiomen um 46 %</w:t>
      </w:r>
    </w:p>
    <w:p>
      <w:r>
        <w:rPr>
          <w:i/>
          <w:color w:val="666666"/>
          <w:sz w:val="18"/>
        </w:rPr>
        <w:t>Jenkinson MD et al.  ·  Lancet  ·  10.10.2026  ·  PMID 42790456</w:t>
      </w:r>
    </w:p>
    <w:p>
      <w:r>
        <w:t>Randomisierte Phase-3-Studie (ROAM/EORTC-1308) an 157 Patienten mit WHO-Grad-2-Meningiom nach kompletter Resektion: Radiotherapie (60 Gy/30 Fraktionen) versus Beobachtung.</w:t>
      </w:r>
    </w:p>
    <w:p>
      <w:r>
        <w:rPr>
          <w:b/>
        </w:rPr>
        <w:t xml:space="preserve">Ergebnis: </w:t>
      </w:r>
      <w:r>
        <w:t>5-Jahres-rezidivfreies Überleben: 79,9 % (Radiotherapie) vs. 64,3 % (Beobachtung); Hazard Ratio 0,51 (p=0,0396). Grad-2/3-Nebenwirkungen in 8 % der bestrahlten Patienten, keine Todesfälle durch Strahlung. Rezidive traten bei 14 % vs. 30 % auf.</w:t>
      </w:r>
    </w:p>
    <w:p>
      <w:r>
        <w:rPr>
          <w:b/>
          <w:sz w:val="19"/>
        </w:rPr>
        <w:t xml:space="preserve">Übertragbarkeit: </w:t>
      </w:r>
      <w:r>
        <w:rPr>
          <w:sz w:val="19"/>
        </w:rPr>
        <w:t>Europäische multizentrische RCT (11 Länder), übertragbar auf deutsches Versorgungssystem und Zertifizierungsstandards.</w:t>
      </w:r>
    </w:p>
    <w:p>
      <w:r>
        <w:rPr>
          <w:color w:val="5A7D3A"/>
          <w:sz w:val="18"/>
        </w:rPr>
        <w:t>https://pubmed.ncbi.nlm.nih.gov/42790456/</w:t>
      </w:r>
    </w:p>
    <w:p>
      <w:pPr>
        <w:pStyle w:val="Heading1"/>
      </w:pPr>
      <w:r>
        <w:t>Aufgenommen am 08.10.2026</w:t>
      </w:r>
    </w:p>
    <w:p>
      <w:pPr>
        <w:pStyle w:val="Heading2"/>
      </w:pPr>
      <w:r>
        <w:t>ctDNA-Dynamik nach Resektion bestimmt Therapie-Strategien beim Kolorektalkarzinom</w:t>
      </w:r>
    </w:p>
    <w:p>
      <w:r>
        <w:rPr>
          <w:i/>
          <w:color w:val="666666"/>
          <w:sz w:val="18"/>
        </w:rPr>
        <w:t>Nakamura Y et al.  ·  Ann Oncol  ·  07.10.2026  ·  PMID 42843562</w:t>
      </w:r>
    </w:p>
    <w:p>
      <w:r>
        <w:t>Prospektive Biomarker-Studie (CIRCULATE-Japan) zur postoperativen zirkulären Tumor-DNA-Dynamik und Eligibilität für MRD-gesteuerte Therapie bei Kolorektalkarzinom; insgesamt 402 Patienten eingeschlossen.</w:t>
      </w:r>
    </w:p>
    <w:p>
      <w:r>
        <w:rPr>
          <w:b/>
        </w:rPr>
        <w:t xml:space="preserve">Ergebnis: </w:t>
      </w:r>
      <w:r>
        <w:t>Postoperative ctDNA-Muster bei 402 Patienten erfasst; Details zu ctDNA-Clearance, Persistenz und Zusammenhang mit TOMR-Eligibilität für adaptive Therapiesteuerung angekündigt. Studie abgeschlossen mit vollständigem Datensatz; Primäranalyse präsentiert mit Fokus auf MRD-gelenkte Behandlungsansätze.</w:t>
      </w:r>
    </w:p>
    <w:p>
      <w:r>
        <w:rPr>
          <w:b/>
          <w:sz w:val="19"/>
        </w:rPr>
        <w:t xml:space="preserve">Übertragbarkeit: </w:t>
      </w:r>
      <w:r>
        <w:rPr>
          <w:sz w:val="19"/>
        </w:rPr>
        <w:t>Japan, Gesundheitssystem mit ähnlichen Dokumentations- und Qualitätsstandards wie Deutschland</w:t>
      </w:r>
    </w:p>
    <w:p>
      <w:r>
        <w:rPr>
          <w:color w:val="5A7D3A"/>
          <w:sz w:val="18"/>
        </w:rPr>
        <w:t>https://pubmed.ncbi.nlm.nih.gov/42843562/</w:t>
      </w:r>
    </w:p>
    <w:p>
      <w:pPr>
        <w:pStyle w:val="Heading2"/>
      </w:pPr>
      <w:r>
        <w:t>Neoadjuvantes Niraparib ermöglicht R0-Resektion bei HRD-positivem Ovarialkarzinom</w:t>
      </w:r>
    </w:p>
    <w:p>
      <w:r>
        <w:rPr>
          <w:i/>
          <w:color w:val="666666"/>
          <w:sz w:val="18"/>
        </w:rPr>
        <w:t>Liu D et al.  ·  Lancet Oncol  ·  07.10.2026  ·  PMID 42843394</w:t>
      </w:r>
    </w:p>
    <w:p>
      <w:r>
        <w:t>Phase-2-Studie zu Niraparib-Monotherapie ohne Chemotherapie bei HRD-positiven, initial inoperablen Ovarialkarzinom-Patientinnen mit hohem chirurgischem Risiko.</w:t>
      </w:r>
    </w:p>
    <w:p>
      <w:r>
        <w:rPr>
          <w:b/>
        </w:rPr>
        <w:t xml:space="preserve">Ergebnis: </w:t>
      </w:r>
      <w:r>
        <w:t>Unter 67 Patientinnen: objektive Ansprechrate 63% (95%-KI 47–76), R0-Resektionsrate 80% (95%-KI 64–91). Häufigste Grad-3/4-Nebenwirkungen waren Thrombozytopenie (48%), Leukopenie (19%), Anämie (18%); 28% hatten ernsthafte Nebenwirkungen, keine Todesfälle durch Behandlung. Strategie bleibt investigativ und benötigt randomisierte Validierung gegen Standard-Chemotherapie.</w:t>
      </w:r>
    </w:p>
    <w:p>
      <w:r>
        <w:rPr>
          <w:b/>
          <w:sz w:val="19"/>
        </w:rPr>
        <w:t xml:space="preserve">Übertragbarkeit: </w:t>
      </w:r>
      <w:r>
        <w:rPr>
          <w:sz w:val="19"/>
        </w:rPr>
        <w:t>China, ähnliche Dokumentationsstandards; Datenschnitt mit 37,7 Monaten Follow-up verfügbar</w:t>
      </w:r>
    </w:p>
    <w:p>
      <w:r>
        <w:rPr>
          <w:color w:val="5A7D3A"/>
          <w:sz w:val="18"/>
        </w:rPr>
        <w:t>https://pubmed.ncbi.nlm.nih.gov/42843394/</w:t>
      </w:r>
    </w:p>
    <w:p>
      <w:pPr>
        <w:pStyle w:val="Heading2"/>
      </w:pPr>
      <w:r>
        <w:t>Exom-Sequenzierung identifiziert erbliche Krebsrisiken bei Kindern mit Hochrisiko-Tumoren</w:t>
      </w:r>
    </w:p>
    <w:p>
      <w:r>
        <w:rPr>
          <w:i/>
          <w:color w:val="666666"/>
          <w:sz w:val="18"/>
        </w:rPr>
        <w:t>Adamde Beaumais T et al.  ·  Eur J Cancer  ·  04.10.2026  ·  PMID 42843210</w:t>
      </w:r>
    </w:p>
    <w:p>
      <w:r>
        <w:t>Systematische Keimbahnanalyse aus therapeutischem Profiling (MAPPYACTS-Studie) bei 674 Kindern mit rezidivierenden/refraktären Malignomen zur Identifikation actionabler genetischer Befunde.</w:t>
      </w:r>
    </w:p>
    <w:p>
      <w:r>
        <w:rPr>
          <w:b/>
        </w:rPr>
        <w:t xml:space="preserve">Ergebnis: </w:t>
      </w:r>
      <w:r>
        <w:t>19,3% der Patienten (130/674) trugen pathogene/wahrscheinlich pathogene Varianten in 53 Krebs-Prädispositionsgenen; 8,6% (58) benötigten genetische Beratung. Häufigste Gene: TP53 (n=17), DICER1 (n=5), BRCA1 (n=4). 35% der Befunde waren nicht vorher bekannt. Zusätzlich 10 Patienten (1,5%) mit actionablen Varianten in Nicht-Krebs-Genen (Kardiomyopathien, familiäre Hyperholesterinämie). 98,6% der Familien stimmten Offenlegung zu.</w:t>
      </w:r>
    </w:p>
    <w:p>
      <w:r>
        <w:rPr>
          <w:b/>
          <w:sz w:val="19"/>
        </w:rPr>
        <w:t xml:space="preserve">Übertragbarkeit: </w:t>
      </w:r>
      <w:r>
        <w:rPr>
          <w:sz w:val="19"/>
        </w:rPr>
        <w:t>Frankreich; multidisziplinärer Rahmen übertragbar auf deutsche Zentren mit genetischer Beratung</w:t>
      </w:r>
    </w:p>
    <w:p>
      <w:r>
        <w:rPr>
          <w:color w:val="5A7D3A"/>
          <w:sz w:val="18"/>
        </w:rPr>
        <w:t>https://pubmed.ncbi.nlm.nih.gov/42843210/</w:t>
      </w:r>
    </w:p>
    <w:p>
      <w:pPr>
        <w:pStyle w:val="Heading2"/>
      </w:pPr>
      <w:r>
        <w:t>Screening-Intervalle für Mundhöhlenkrebs können auf zehn Jahre verlängert werden</w:t>
      </w:r>
    </w:p>
    <w:p>
      <w:r>
        <w:rPr>
          <w:i/>
          <w:color w:val="666666"/>
          <w:sz w:val="18"/>
        </w:rPr>
        <w:t>Cheung LC et al.  ·  J Natl Cancer Inst  ·  07.10.2026  ·  PMID 42842394</w:t>
      </w:r>
    </w:p>
    <w:p>
      <w:r>
        <w:t>Langzeitbeobachtung von 41.225 Kau- und Raucher aus der Kerala Oral Cancer Screening Trial (1996–2010): Analyse von Screening-Sensitivität, prädiktiven Werten und natürlicher Krankheitsgeschichte über multistate-Modelle.</w:t>
      </w:r>
    </w:p>
    <w:p>
      <w:r>
        <w:rPr>
          <w:b/>
        </w:rPr>
        <w:t xml:space="preserve">Ergebnis: </w:t>
      </w:r>
      <w:r>
        <w:t>Visuelles Screening über zwei aufeinanderfolgende Untersuchungen (Median 3,5 Jahre Abstand): Sensitivität 89,2%, positiv-prädiktiver Wert 1,55%, negativer Vorhersagewert 99,96% für prävalente Krebsfälle. Wiederholte Screening-Negative hatten 32-fach niedrigeres Krebsrisiko über 11 Jahre. Mittlere Dauer von Früh- zu Spätstadium: 2,7 Jahre. Mittlere Verweilzeit in Präkanzerose: 19,3 Jahre.</w:t>
      </w:r>
    </w:p>
    <w:p>
      <w:r>
        <w:rPr>
          <w:b/>
          <w:sz w:val="19"/>
        </w:rPr>
        <w:t xml:space="preserve">Übertragbarkeit: </w:t>
      </w:r>
      <w:r>
        <w:rPr>
          <w:sz w:val="19"/>
        </w:rPr>
        <w:t>Indien, hohe Prävalenz von Kau- und Rauchtabak; Screening-Algorithmus prinzipiell auf europäische Risikopopulationen übertragbar</w:t>
      </w:r>
    </w:p>
    <w:p>
      <w:r>
        <w:rPr>
          <w:color w:val="5A7D3A"/>
          <w:sz w:val="18"/>
        </w:rPr>
        <w:t>https://pubmed.ncbi.nlm.nih.gov/42842394/</w:t>
      </w:r>
    </w:p>
    <w:p>
      <w:pPr>
        <w:pStyle w:val="Heading2"/>
      </w:pPr>
      <w:r>
        <w:t>Daratumumab plus Lenalidomid/Dexamethason verlängert Überleben bei nicht transplantierbarem Myelom</w:t>
      </w:r>
    </w:p>
    <w:p>
      <w:r>
        <w:rPr>
          <w:i/>
          <w:color w:val="666666"/>
          <w:sz w:val="18"/>
        </w:rPr>
        <w:t>Facon T et al.  ·  Leukemia  ·  06.10.2026  ·  PMID 42839070</w:t>
      </w:r>
    </w:p>
    <w:p>
      <w:r>
        <w:t>Subgruppenanalyse der MAIA-Studie nach Frailty-Status bei älteren Patienten mit neu diagnostiziertem multiplem Myelom, die nicht für Stammzelltransplantation geeignet sind.</w:t>
      </w:r>
    </w:p>
    <w:p>
      <w:r>
        <w:rPr>
          <w:b/>
        </w:rPr>
        <w:t xml:space="preserve">Ergebnis: </w:t>
      </w:r>
      <w:r>
        <w:t>Bei nicht-frailen Patienten war das Gesamtüberleben unter D-Rd signifikant besser (Median nicht erreicht vs. 69,8 Monate; HR 0,53; 95%-KI 0,37–0,76; p=0,0004); bei frailen Patienten zeigte sich ein Trend ohne Signifikanz (HR 0,79; p=0,1128). Komplette Remissionsraten und MRD-Negativität waren über alle Frailty-Gruppen hinweg verbessert; längere Therapiedauer unter D-Rd deutete auf bessere Verträglichkeit hin.</w:t>
      </w:r>
    </w:p>
    <w:p>
      <w:r>
        <w:rPr>
          <w:b/>
          <w:sz w:val="19"/>
        </w:rPr>
        <w:t xml:space="preserve">Übertragbarkeit: </w:t>
      </w:r>
      <w:r>
        <w:rPr>
          <w:sz w:val="19"/>
        </w:rPr>
        <w:t>Europäische und kanadische Kliniken; direkter Bezug zu deutschen Behandlungsstandards beim älteren Myelom-Patient</w:t>
      </w:r>
    </w:p>
    <w:p>
      <w:r>
        <w:rPr>
          <w:color w:val="5A7D3A"/>
          <w:sz w:val="18"/>
        </w:rPr>
        <w:t>https://pubmed.ncbi.nlm.nih.gov/42839070/</w:t>
      </w:r>
    </w:p>
    <w:p>
      <w:pPr>
        <w:pStyle w:val="Heading2"/>
      </w:pPr>
      <w:r>
        <w:t>Blinatumomab-Kombination verbessert Überleben bei BCR::ABL1-negativer adulter ALL in Hochrisiko-Subtypen</w:t>
      </w:r>
    </w:p>
    <w:p>
      <w:r>
        <w:rPr>
          <w:i/>
          <w:color w:val="666666"/>
          <w:sz w:val="18"/>
        </w:rPr>
        <w:t>Zhong X et al.  ·  Blood  ·  05.10.2026  ·  PMID 42832396</w:t>
      </w:r>
    </w:p>
    <w:p>
      <w:r>
        <w:t>Genomische Charakterisierung von 569 Patienten der ECOG-ACRIN E1910-Studie zu Blinatumomab plus Chemotherapie bei BCR::ABL1-negativer B-ALL; Analyse von 23 Molekularsubtypen und Treibergenen.</w:t>
      </w:r>
    </w:p>
    <w:p>
      <w:r>
        <w:rPr>
          <w:b/>
        </w:rPr>
        <w:t xml:space="preserve">Ergebnis: </w:t>
      </w:r>
      <w:r>
        <w:t>Blinatumomab-Addition führte zu verbessertem rezidivfreiem und Gesamtüberleben bei hyperdiploidem, PAX5alt, PAX5 P80R, BCR::ABL1-ähnlichem JAK-STAT und KMT2A-R-Subtyp. TP53-Alterationen oder CHIP-assoziierte Mutationen (insgesamt 15,3% bzw. 9,8%) waren mit älterem Diagnose-Alter und schlechterem Ergebnis assoziiert. Analysen für einzelne Subtypen kleinerer Fallzahlen; Bestätigung erforderlich.</w:t>
      </w:r>
    </w:p>
    <w:p>
      <w:r>
        <w:rPr>
          <w:b/>
          <w:sz w:val="19"/>
        </w:rPr>
        <w:t xml:space="preserve">Übertragbarkeit: </w:t>
      </w:r>
      <w:r>
        <w:rPr>
          <w:sz w:val="19"/>
        </w:rPr>
        <w:t>USA; genomische Klassifikation und Therapiestrategie prinzipiell auf deutsche ALL-Zentren übertragbar</w:t>
      </w:r>
    </w:p>
    <w:p>
      <w:r>
        <w:rPr>
          <w:color w:val="5A7D3A"/>
          <w:sz w:val="18"/>
        </w:rPr>
        <w:t>https://pubmed.ncbi.nlm.nih.gov/42832396/</w:t>
      </w:r>
    </w:p>
    <w:p>
      <w:pPr>
        <w:pStyle w:val="Heading1"/>
      </w:pPr>
      <w:r>
        <w:t>Aufgenommen am 07.10.2026</w:t>
      </w:r>
    </w:p>
    <w:p>
      <w:pPr>
        <w:pStyle w:val="Heading2"/>
      </w:pPr>
      <w:r>
        <w:t>Saure Mikroumgebung vermindert CD8-Immunität: Zielstruktur für Immuntherapie-Resistenz bei Magenkrebs</w:t>
      </w:r>
    </w:p>
    <w:p>
      <w:r>
        <w:rPr>
          <w:i/>
          <w:color w:val="666666"/>
          <w:sz w:val="18"/>
        </w:rPr>
        <w:t>Wang T et al.  ·  Cancer Cell  ·  06.10.2026  ·  PMID 42838052</w:t>
      </w:r>
    </w:p>
    <w:p>
      <w:r>
        <w:t>Einzelzell-Chromatin-Accessibility-Atlas von 650 Proben aus 439 Patienten mit multistep-Magenkrebsentstehung zur Identifikation epigenomischer Subtypen und ihrer Immuntherapie-Sensitivität.</w:t>
      </w:r>
    </w:p>
    <w:p>
      <w:r>
        <w:rPr>
          <w:b/>
        </w:rPr>
        <w:t xml:space="preserve">Ergebnis: </w:t>
      </w:r>
      <w:r>
        <w:t>Drei epigenomische Subtypen: proliferativ und mesenchymal-inflammatorisch sind sensitiv für neoadjuvante Immuntherapie. Ein dritter, pseudo-gastraler Subtyp ist intrinsisch therapieresistent, gekennzeichnet durch FOSL2-getriebene H+/K+-ATPase-Expression und Acidifiez­rung. Inhibition durch FOSL2-Depletion oder Vonoprazan (verfügbarer H+-Blocker) sensibilisiert für Immuntherapie und unterdrückt CD8+ T-Zellen.</w:t>
      </w:r>
    </w:p>
    <w:p>
      <w:r>
        <w:rPr>
          <w:b/>
          <w:sz w:val="19"/>
        </w:rPr>
        <w:t xml:space="preserve">Übertragbarkeit: </w:t>
      </w:r>
      <w:r>
        <w:rPr>
          <w:sz w:val="19"/>
        </w:rPr>
        <w:t>China, Mechanismus epigenetisch fundiert; Vonoprazan in Deutschland zugelassen, klinische Translation noch offen.</w:t>
      </w:r>
    </w:p>
    <w:p>
      <w:r>
        <w:rPr>
          <w:color w:val="5A7D3A"/>
          <w:sz w:val="18"/>
        </w:rPr>
        <w:t>https://pubmed.ncbi.nlm.nih.gov/42838052/</w:t>
      </w:r>
    </w:p>
    <w:p>
      <w:pPr>
        <w:pStyle w:val="Heading2"/>
      </w:pPr>
      <w:r>
        <w:t>Glofitamab plus Polatuzumab-R-CHP: 95% Complete-Response-Rate bei DLBCL</w:t>
      </w:r>
    </w:p>
    <w:p>
      <w:r>
        <w:rPr>
          <w:i/>
          <w:color w:val="666666"/>
          <w:sz w:val="18"/>
        </w:rPr>
        <w:t>Crombie JL et al.  ·  Blood  ·  06.10.2026  ·  PMID 42837325</w:t>
      </w:r>
    </w:p>
    <w:p>
      <w:r>
        <w:t>Phase-II-Studie zur Kombination des CD3xCD20-Bispecific-Antikörpers Glofitamab mit Polatuzumab und Standardchemotherapie (pola-R-CHP) bei neu diagnostiziertem diffusem großzelligem B-Zell-Lymphom mit IPI ≥2.</w:t>
      </w:r>
    </w:p>
    <w:p>
      <w:r>
        <w:rPr>
          <w:b/>
        </w:rPr>
        <w:t xml:space="preserve">Ergebnis: </w:t>
      </w:r>
      <w:r>
        <w:t>Best Complete-Response-Rate 95% (39/41; 95%-KI 83–99), beide Patienten mit Partialremission konvertierten ohne Intervention. Bei Median-Follow-up 23,9 Monate: 24-Monats-PFS 95% (95%-KI 89–100). Cytokine-Release-Syndrome nur Grad 1 (n=4, 10%), keine Neurotoxizität. Vorläufig belastbare Ansprechraten und Verträglichkeit.</w:t>
      </w:r>
    </w:p>
    <w:p>
      <w:r>
        <w:rPr>
          <w:b/>
          <w:sz w:val="19"/>
        </w:rPr>
        <w:t xml:space="preserve">Übertragbarkeit: </w:t>
      </w:r>
      <w:r>
        <w:rPr>
          <w:sz w:val="19"/>
        </w:rPr>
        <w:t>USA, ähnlicher Ressourcenausstattung wie deutsches System; Zulassung noch zu klären.</w:t>
      </w:r>
    </w:p>
    <w:p>
      <w:r>
        <w:rPr>
          <w:color w:val="5A7D3A"/>
          <w:sz w:val="18"/>
        </w:rPr>
        <w:t>https://pubmed.ncbi.nlm.nih.gov/42837325/</w:t>
      </w:r>
    </w:p>
    <w:p>
      <w:pPr>
        <w:pStyle w:val="Heading2"/>
      </w:pPr>
      <w:r>
        <w:t>Telomerlänge prognostiziert Progression bei CLL unter Venetoclax-Therapie</w:t>
      </w:r>
    </w:p>
    <w:p>
      <w:r>
        <w:rPr>
          <w:i/>
          <w:color w:val="666666"/>
          <w:sz w:val="18"/>
        </w:rPr>
        <w:t>Jebaraj BMC et al.  ·  Blood  ·  06.10.2026  ·  PMID 42837320</w:t>
      </w:r>
    </w:p>
    <w:p>
      <w:r>
        <w:t>Prospektive Analyse von 917 Patientenproben aus den randomisierten Studien GAIA/CLL13 und CLL2-GIVe zu prognostischer Bedeutung der Telomerlänge unter modernen Targeted Therapies bei chronischer lymphatischer Leukämie.</w:t>
      </w:r>
    </w:p>
    <w:p>
      <w:r>
        <w:rPr>
          <w:b/>
        </w:rPr>
        <w:t xml:space="preserve">Ergebnis: </w:t>
      </w:r>
      <w:r>
        <w:t>Kurze Telomere (Cutoff 4,17 kb) korrelierten mit ungünstigen klinischen und genetischen Merkmalen (alle p&lt;0,01). Sie waren unabhängiger Prognosefaktor für verkürztes progressionsfreies Überleben in allen Behandlungsarmen (p&lt;0,01), in der Chemoimmunotherapie auch für Gesamtüberleben (p=0,024). Unter Venetoclax-basierten Kombinationen: Median-PFS 7 Jahre bei langen Telomeren, deutlich kürzer bei kurzen.</w:t>
      </w:r>
    </w:p>
    <w:p>
      <w:r>
        <w:rPr>
          <w:b/>
          <w:sz w:val="19"/>
        </w:rPr>
        <w:t xml:space="preserve">Übertragbarkeit: </w:t>
      </w:r>
      <w:r>
        <w:rPr>
          <w:sz w:val="19"/>
        </w:rPr>
        <w:t>Deutsche und europäische Multizenterstudie, direkt auf deutsches Krebszentrumsetting übertragbar.</w:t>
      </w:r>
    </w:p>
    <w:p>
      <w:r>
        <w:rPr>
          <w:color w:val="5A7D3A"/>
          <w:sz w:val="18"/>
        </w:rPr>
        <w:t>https://pubmed.ncbi.nlm.nih.gov/42837320/</w:t>
      </w:r>
    </w:p>
    <w:p>
      <w:pPr>
        <w:pStyle w:val="Heading2"/>
      </w:pPr>
      <w:r>
        <w:t>21-Gen-Recurrence-Score bei pN2-3 Brustkrebs: OS-Vorteil durch Chemotherapie</w:t>
      </w:r>
    </w:p>
    <w:p>
      <w:r>
        <w:rPr>
          <w:i/>
          <w:color w:val="666666"/>
          <w:sz w:val="18"/>
        </w:rPr>
        <w:t>Valenza C et al.  ·  J Natl Cancer Inst  ·  06.10.2026  ·  PMID 42836707</w:t>
      </w:r>
    </w:p>
    <w:p>
      <w:r>
        <w:t>Nationale retrospektive Kohortenstudie (USA, NCDB) an 3.110 von 50.229 Patienten mit hormonrezeptorpositivem/HER2-negativem Brustkrebs (pN2-3) und 21-Gen-RS ≤25 zum Nutzen adjuvanter Chemotherapie trotz niedriger genetischer Risikogruppe.</w:t>
      </w:r>
    </w:p>
    <w:p>
      <w:r>
        <w:rPr>
          <w:b/>
        </w:rPr>
        <w:t xml:space="preserve">Ergebnis: </w:t>
      </w:r>
      <w:r>
        <w:t>Unter 2.058 getesteten Patienten mit RS ≤25 (Median 15) erhielten 68% Chemotherapie. Bei Median-Follow-up 5,3 Jahre: Adjustierte HR für Gesamtüberleben (Chemotherapie vs. keine) 0,62 (95%-KI 0,48–0,81; p=0,0002). Autoren warnen vor Confounder-by-Indication und fordern RCTs – Ergebnis unter Vorbehalt.</w:t>
      </w:r>
    </w:p>
    <w:p>
      <w:r>
        <w:rPr>
          <w:b/>
          <w:sz w:val="19"/>
        </w:rPr>
        <w:t xml:space="preserve">Übertragbarkeit: </w:t>
      </w:r>
      <w:r>
        <w:rPr>
          <w:sz w:val="19"/>
        </w:rPr>
        <w:t>USA-Klinikdaten, System unterscheidet sich; 21-Gen-Test in Deutschland begrenzt verfügbar.</w:t>
      </w:r>
    </w:p>
    <w:p>
      <w:r>
        <w:rPr>
          <w:color w:val="5A7D3A"/>
          <w:sz w:val="18"/>
        </w:rPr>
        <w:t>https://pubmed.ncbi.nlm.nih.gov/42836707/</w:t>
      </w:r>
    </w:p>
    <w:p>
      <w:pPr>
        <w:pStyle w:val="Heading2"/>
      </w:pPr>
      <w:r>
        <w:t>Antibody-Drug-Conjugates versus Chemotherapie: unterschiedliche Lebensqualitäts-Profile</w:t>
      </w:r>
    </w:p>
    <w:p>
      <w:r>
        <w:rPr>
          <w:i/>
          <w:color w:val="666666"/>
          <w:sz w:val="18"/>
        </w:rPr>
        <w:t>Milani M et al.  ·  Oncologist  ·  05.10.2026  ·  PMID 42834440</w:t>
      </w:r>
    </w:p>
    <w:p>
      <w:r>
        <w:t>Prospektive italienische Kohortenstudie (DAMA-Framework) mit elektronischen Patienten-Reported Outcome Measures (ePROMs) bei 122 Patientinnen mit metastasiertem Brustkrebs unter Second-Line-Therapie: 51 ADC vs. 71 konventionelle Chemotherapie, 6-Monats-Follow-up.</w:t>
      </w:r>
    </w:p>
    <w:p>
      <w:r>
        <w:rPr>
          <w:b/>
        </w:rPr>
        <w:t xml:space="preserve">Ergebnis: </w:t>
      </w:r>
      <w:r>
        <w:t>ADC-Gruppe: stärkerer Gewichtsverlust bei 3 Monaten (–3,1 vs. –1,2 kg), größerer Rückgang wöchentlicher körperlicher Aktivität (–41 vs. –22 Min./Woche), höhere psychische Belastung und Caregiver-Burden, aber niedrigere Schmerzwerte (3,7 vs. 5,3). Bei 6 Monaten: mehrere Unterschiede attenuiert. Physische Aktivität korrelierte nicht mit Schmerz, Stress oder Angst.</w:t>
      </w:r>
    </w:p>
    <w:p>
      <w:r>
        <w:rPr>
          <w:b/>
          <w:sz w:val="19"/>
        </w:rPr>
        <w:t xml:space="preserve">Übertragbarkeit: </w:t>
      </w:r>
      <w:r>
        <w:rPr>
          <w:sz w:val="19"/>
        </w:rPr>
        <w:t>Italien, innerhalb Europas übertragbar; ePROM-Ansatz für deutsche Versorgungsforschung relevant.</w:t>
      </w:r>
    </w:p>
    <w:p>
      <w:r>
        <w:rPr>
          <w:color w:val="5A7D3A"/>
          <w:sz w:val="18"/>
        </w:rPr>
        <w:t>https://pubmed.ncbi.nlm.nih.gov/42834440/</w:t>
      </w:r>
    </w:p>
    <w:p>
      <w:pPr>
        <w:pStyle w:val="Heading2"/>
      </w:pPr>
      <w:r>
        <w:t>Krebsinzidenz bei Kindern, Jugendlichen und jungen Erwachsenen in England 2001–2020</w:t>
      </w:r>
    </w:p>
    <w:p>
      <w:r>
        <w:rPr>
          <w:i/>
          <w:color w:val="666666"/>
          <w:sz w:val="18"/>
        </w:rPr>
        <w:t>Thompson S et al.  ·  Eur J Cancer  ·  02.10.2026  ·  PMID 42833137</w:t>
      </w:r>
    </w:p>
    <w:p>
      <w:r>
        <w:t>Nationale Registerstudie aus England (NDRS) zu Trends bei Neudiagnosen von Krebserkrankungen bei Unter-25-Jährigen über 20 Jahre mit Joinpoint-Analyse und Geschlechterstratifizierung.</w:t>
      </w:r>
    </w:p>
    <w:p>
      <w:r>
        <w:rPr>
          <w:b/>
        </w:rPr>
        <w:t xml:space="preserve">Ergebnis: </w:t>
      </w:r>
      <w:r>
        <w:t>Gesamtinzidenz 147 pro Million (0–14 Jahre) und 273 pro Million (15–24 Jahre). Lymphoidale Leukämie und Hirn-/ZNS-Tumoren: 46% der Diagnosen bei Kindern. Bei jungen Erwachsenen: Hodgkin-Lymphom 15%, malignes Melanom 9%, Hodenkrebs 24% der Männer. Kolorektaler Krebs bei 15–24-Jährigen: Anstieg bis 2015, dann APC –37,59% (p&lt;0,001). Schilddrüsenkrebs: kontinuierlicher Anstieg (APC +5,49%, p&lt;0,001). Gebärmutterhalskrebs Rückgang seit 2015 (APC –21,9%, p=0,03).</w:t>
      </w:r>
    </w:p>
    <w:p>
      <w:r>
        <w:rPr>
          <w:b/>
          <w:sz w:val="19"/>
        </w:rPr>
        <w:t xml:space="preserve">Übertragbarkeit: </w:t>
      </w:r>
      <w:r>
        <w:rPr>
          <w:sz w:val="19"/>
        </w:rPr>
        <w:t>England, vergleichbares Versicherungssystem, ähnliche Registerqualität wie Deutschland.</w:t>
      </w:r>
    </w:p>
    <w:p>
      <w:r>
        <w:rPr>
          <w:color w:val="5A7D3A"/>
          <w:sz w:val="18"/>
        </w:rPr>
        <w:t>https://pubmed.ncbi.nlm.nih.gov/42833137/</w:t>
      </w:r>
    </w:p>
    <w:p>
      <w:pPr>
        <w:pStyle w:val="Heading2"/>
      </w:pPr>
      <w:r>
        <w:t>Vaginales Östrogen bei Brust- und Gynäkologie-Krebsüberlebenden: Sicherheit und Wirksamkeit</w:t>
      </w:r>
    </w:p>
    <w:p>
      <w:r>
        <w:rPr>
          <w:i/>
          <w:color w:val="666666"/>
          <w:sz w:val="18"/>
        </w:rPr>
        <w:t>Burns JB et al.  ·  JCO Oncol Pract  ·  05.10.2026  ·  PMID 42832731</w:t>
      </w:r>
    </w:p>
    <w:p>
      <w:r>
        <w:t>Narrative Review zur Sicherheit und Wirksamkeit von Low-Dose-Vaginaloestrogen bei Behandlung von Genitourinary-Syndrome-of-Menopause (GSM) in Patienten mit früherer Brust- oder Gynäkologiakrebserkrankung basierend auf aktueller Literatur und Leitlinien.</w:t>
      </w:r>
    </w:p>
    <w:p>
      <w:r>
        <w:rPr>
          <w:b/>
        </w:rPr>
        <w:t xml:space="preserve">Ergebnis: </w:t>
      </w:r>
      <w:r>
        <w:t>Vaginoestrogen zeigt konsistent signifikante Verbesserung von GSM-Symptomen und Lebensqualität. Minimale systemische Absorption bei Low-Dose-Formulierungen (Serum-Estradiol bleibt postmenopausal). Große observationale Studien und Metaanalysen zeigen keinen erhöhten Brustkrebs-Rezidiv- oder Mortalitätsrisiko, auch bei Östrogenrezeptor-positivem Krebs und Tamoxifen-Therapie. Daten für Aromatase-Inhibitor-Patienten limitiert. Sicherheit und Wirksamkeit unterstützt bei Shared Decision-Making; nicht-hormonale Therapie erste Linie, Low-Dose-Vaginaloestrogen effektive Option bei refraktären Symptomen.</w:t>
      </w:r>
    </w:p>
    <w:p>
      <w:r>
        <w:rPr>
          <w:b/>
          <w:sz w:val="19"/>
        </w:rPr>
        <w:t xml:space="preserve">Übertragbarkeit: </w:t>
      </w:r>
      <w:r>
        <w:rPr>
          <w:sz w:val="19"/>
        </w:rPr>
        <w:t>Systematische Literaturübersicht, internationale Evidenz; deutsches Versorgungsprinzip des Shared Decision-Making abgedeckt.</w:t>
      </w:r>
    </w:p>
    <w:p>
      <w:r>
        <w:rPr>
          <w:color w:val="5A7D3A"/>
          <w:sz w:val="18"/>
        </w:rPr>
        <w:t>https://pubmed.ncbi.nlm.nih.gov/42832731/</w:t>
      </w:r>
    </w:p>
    <w:p>
      <w:pPr>
        <w:pStyle w:val="Heading1"/>
      </w:pPr>
      <w:r>
        <w:t>Aufgenommen am 06.10.2026</w:t>
      </w:r>
    </w:p>
    <w:p>
      <w:pPr>
        <w:pStyle w:val="Heading2"/>
      </w:pPr>
      <w:r>
        <w:t>EGCG reduziert EBV-Reaktivierung bei Nasopharynxkarzinom nicht</w:t>
      </w:r>
    </w:p>
    <w:p>
      <w:r>
        <w:rPr>
          <w:i/>
          <w:color w:val="666666"/>
          <w:sz w:val="18"/>
        </w:rPr>
        <w:t>Tsai HJ et al.  ·  Eur J Cancer  ·  01.10.2026  ·  PMID 42833136</w:t>
      </w:r>
    </w:p>
    <w:p>
      <w:r>
        <w:t>Randomisierte Studie bei 353 Patienten mit Nasopharynxkarzinom in Remission: Epigallocatechingallat (EGCG) aus grünem Tee versus Placebo für 3 Jahre zur Verhinderung von EBV-Reaktivierung und Tumorrezidiv.</w:t>
      </w:r>
    </w:p>
    <w:p>
      <w:r>
        <w:rPr>
          <w:b/>
        </w:rPr>
        <w:t xml:space="preserve">Ergebnis: </w:t>
      </w:r>
      <w:r>
        <w:t>EGCG reduzierte weder die EBV-DNA-Reaktivierungsrate noch die Rezidivrate signifikant. Positive plasma-EBV-DNA war jedoch stark mit hoher Rezidivrate und kürzerer rezidivfreier sowie Gesamtüberlebenszeit assoziiert (alle p&lt;0,05). EBV-DNA eignet sich als Überwachungsmarker.</w:t>
      </w:r>
    </w:p>
    <w:p>
      <w:r>
        <w:rPr>
          <w:b/>
          <w:sz w:val="19"/>
        </w:rPr>
        <w:t xml:space="preserve">Übertragbarkeit: </w:t>
      </w:r>
      <w:r>
        <w:rPr>
          <w:sz w:val="19"/>
        </w:rPr>
        <w:t>Taiwan-Studie, aber Methodik und Ergebnis sind auf HNO-Zentren übertragbar</w:t>
      </w:r>
    </w:p>
    <w:p>
      <w:r>
        <w:rPr>
          <w:color w:val="5A7D3A"/>
          <w:sz w:val="18"/>
        </w:rPr>
        <w:t>https://pubmed.ncbi.nlm.nih.gov/42833136/</w:t>
      </w:r>
    </w:p>
    <w:p>
      <w:pPr>
        <w:pStyle w:val="Heading2"/>
      </w:pPr>
      <w:r>
        <w:t>Mosunetuzumab-Polatuzumab bei älteren fragilen Patienten mit großzelligem B-Lymphom</w:t>
      </w:r>
    </w:p>
    <w:p>
      <w:r>
        <w:rPr>
          <w:i/>
          <w:color w:val="666666"/>
          <w:sz w:val="18"/>
        </w:rPr>
        <w:t>Olszewski AJ et al.  ·  Blood  ·  05.10.2026  ·  PMID 42832423</w:t>
      </w:r>
    </w:p>
    <w:p>
      <w:r>
        <w:t>Offene Phase-I/II-Studie mit 101 älteren/unfitness Patienten mit neu diagnostiziertem diffusem großzelligem B-Lymphom (Medianalter 81 Jahre): Mosunetuzumab plus Polatuzumab vedotin für bis zu 8 Zyklen, bewertet nach geriatrischer Assessmentklassifikation.</w:t>
      </w:r>
    </w:p>
    <w:p>
      <w:r>
        <w:rPr>
          <w:b/>
        </w:rPr>
        <w:t xml:space="preserve">Ergebnis: </w:t>
      </w:r>
      <w:r>
        <w:t>ORR 61,4%, komplette Remission 56,4%. Zwei-Jahres-PFS 52,2%, Zwei-Jahres-OS 62,4% (Median nicht erreicht). Cytokine-Release-Syndrome in 30,6% (überwiegend Grad 1). Infektionsbedingte Mortalität vor allem bei als 'frail' klassifizierten Patienten und während COVID-19-Pandemie.</w:t>
      </w:r>
    </w:p>
    <w:p>
      <w:r>
        <w:rPr>
          <w:b/>
          <w:sz w:val="19"/>
        </w:rPr>
        <w:t xml:space="preserve">Übertragbarkeit: </w:t>
      </w:r>
      <w:r>
        <w:rPr>
          <w:sz w:val="19"/>
        </w:rPr>
        <w:t>Internationales Design, deutschsprachiger Co-Autor, vergleichbare Behandlungsstandards</w:t>
      </w:r>
    </w:p>
    <w:p>
      <w:r>
        <w:rPr>
          <w:color w:val="5A7D3A"/>
          <w:sz w:val="18"/>
        </w:rPr>
        <w:t>https://pubmed.ncbi.nlm.nih.gov/42832423/</w:t>
      </w:r>
    </w:p>
    <w:p>
      <w:pPr>
        <w:pStyle w:val="Heading2"/>
      </w:pPr>
      <w:r>
        <w:t>RVD-lite bewährt sich langfristig bei älteren Multiplem Myelom</w:t>
      </w:r>
    </w:p>
    <w:p>
      <w:r>
        <w:rPr>
          <w:i/>
          <w:color w:val="666666"/>
          <w:sz w:val="18"/>
        </w:rPr>
        <w:t>Gustine JN et al.  ·  Clin Cancer Res  ·  05.10.2026  ·  PMID 42832368</w:t>
      </w:r>
    </w:p>
    <w:p>
      <w:r>
        <w:t>Phase-II-Studie mit 50 transplantationsungeeigneten Myelom-Patienten (Medianalter 73 Jahre): modifizierte Intensität von Lenalidomid, Bortezomib, Dexamethason über 9 Induktions- und 6 Konsolidierungszyklen, Mediannachverfolgung 72 Monate.</w:t>
      </w:r>
    </w:p>
    <w:p>
      <w:r>
        <w:rPr>
          <w:b/>
        </w:rPr>
        <w:t xml:space="preserve">Ergebnis: </w:t>
      </w:r>
      <w:r>
        <w:t>ORR 90%, ≥VGPR 66%. Median-PFS 42 Monate (5-Jahres-PFS 40%), Median-OS 76 Monate (5-Jahres-OS 63%). ECOG-Status 2 assoziiert mit schlechterer PFS und OS. Nur 4% Therapieabbau wegen Toxizität, keine behandlungsbedingte Mortalität.</w:t>
      </w:r>
    </w:p>
    <w:p>
      <w:r>
        <w:rPr>
          <w:b/>
          <w:sz w:val="19"/>
        </w:rPr>
        <w:t xml:space="preserve">Übertragbarkeit: </w:t>
      </w:r>
      <w:r>
        <w:rPr>
          <w:sz w:val="19"/>
        </w:rPr>
        <w:t>US-akademisches Zentrum, aber Outcome-Daten für deutschsprachige Praxen relevant</w:t>
      </w:r>
    </w:p>
    <w:p>
      <w:r>
        <w:rPr>
          <w:color w:val="5A7D3A"/>
          <w:sz w:val="18"/>
        </w:rPr>
        <w:t>https://pubmed.ncbi.nlm.nih.gov/42832368/</w:t>
      </w:r>
    </w:p>
    <w:p>
      <w:pPr>
        <w:pStyle w:val="Heading2"/>
      </w:pPr>
      <w:r>
        <w:t>Finanzielle Anreize fördern Rauchstopp bei Lungenkrebsscreening</w:t>
      </w:r>
    </w:p>
    <w:p>
      <w:r>
        <w:rPr>
          <w:i/>
          <w:color w:val="666666"/>
          <w:sz w:val="18"/>
        </w:rPr>
        <w:t>Hart JL et al.  ·  JAMA  ·  05.10.2026  ·  PMID 42832220</w:t>
      </w:r>
    </w:p>
    <w:p>
      <w:r>
        <w:t>Randomisierte Studie mit 3.220 unterversorgten Rauchern beim Lungenkrebsscreening in USA: vier Strategien verglichen – Standardberatung, plus freie Pharmakotherapie, plus finanzielle Anreize bis 600 USD, plus mobile Health-App.</w:t>
      </w:r>
    </w:p>
    <w:p>
      <w:r>
        <w:rPr>
          <w:b/>
        </w:rPr>
        <w:t xml:space="preserve">Ergebnis: </w:t>
      </w:r>
      <w:r>
        <w:t>Sustained Abstinenz über 6 Monate: 4,3% (Standardberatung), 5,1% (Pharmaka), 8,8% (Anreize), 7,2% (Anreize+App). Anreize zeigten adjustierte Differenz von +4,6% gegenüber Standard (p&lt;0,001) und +4,1% gegenüber Standard+Pharmaka (p&lt;0,001). Freie Medikation allein war nicht überlegen.</w:t>
      </w:r>
    </w:p>
    <w:p>
      <w:r>
        <w:rPr>
          <w:b/>
          <w:sz w:val="19"/>
        </w:rPr>
        <w:t xml:space="preserve">Übertragbarkeit: </w:t>
      </w:r>
      <w:r>
        <w:rPr>
          <w:sz w:val="19"/>
        </w:rPr>
        <w:t>USA-System mit anderer Krankenversicherung, aber Befund zu Anreizmechanismen gesundheitssystemübergreifend relevant</w:t>
      </w:r>
    </w:p>
    <w:p>
      <w:r>
        <w:rPr>
          <w:color w:val="5A7D3A"/>
          <w:sz w:val="18"/>
        </w:rPr>
        <w:t>https://pubmed.ncbi.nlm.nih.gov/42832220/</w:t>
      </w:r>
    </w:p>
    <w:p>
      <w:pPr>
        <w:pStyle w:val="Heading2"/>
      </w:pPr>
      <w:r>
        <w:t>Sequenzierung von Regorafenib vor Anti-EGFR ist möglich – Studie aber unterbesetzt</w:t>
      </w:r>
    </w:p>
    <w:p>
      <w:r>
        <w:rPr>
          <w:i/>
          <w:color w:val="666666"/>
          <w:sz w:val="18"/>
        </w:rPr>
        <w:t>Abidoye OB et al.  ·  Oncologist  ·  03.10.2026  ·  PMID 42830449</w:t>
      </w:r>
    </w:p>
    <w:p>
      <w:r>
        <w:t>Phase-II-Randomisierungsstudie REVERCE II mit 22 Patienten mit RAS/BRAF-WT metastasiertem Kolorektalkarzinom nach Standardchemotherapie: Regorafenib → Anti-EGFR versus Anti-EGFR → Regorafenib sequenziell, primärer Endpunkt Gesamtüberleben.</w:t>
      </w:r>
    </w:p>
    <w:p>
      <w:r>
        <w:rPr>
          <w:b/>
        </w:rPr>
        <w:t xml:space="preserve">Ergebnis: </w:t>
      </w:r>
      <w:r>
        <w:t>Wegen langsamer Rekrutierung vorzeitig geschlossen. Median-OS: Regorafenib-First 21,9 vs. EGFR-First 13,3 Monate (einseitig p=0,114). PFS1 2,5 vs. 5,6 Monate (p=0,998), PFS2 3,7 vs. 2,0 Monate (p=0,086). Regorafenib-First zeigte numerischen OS-Vorteil ohne Signifikanz. Keine wesentlichen Unterschiede in Nebenwirkungen.</w:t>
      </w:r>
    </w:p>
    <w:p>
      <w:r>
        <w:rPr>
          <w:b/>
          <w:sz w:val="19"/>
        </w:rPr>
        <w:t xml:space="preserve">Übertragbarkeit: </w:t>
      </w:r>
      <w:r>
        <w:rPr>
          <w:sz w:val="19"/>
        </w:rPr>
        <w:t>USA-amerikanische Studie, unterbesetzt, aber Sequenzierungsfrage für deutsche Praxen relevant</w:t>
      </w:r>
    </w:p>
    <w:p>
      <w:r>
        <w:rPr>
          <w:color w:val="5A7D3A"/>
          <w:sz w:val="18"/>
        </w:rPr>
        <w:t>https://pubmed.ncbi.nlm.nih.gov/42830449/</w:t>
      </w:r>
    </w:p>
    <w:p>
      <w:pPr>
        <w:pStyle w:val="Heading2"/>
      </w:pPr>
      <w:r>
        <w:t>Molekulares Profiling von Schweißdrüsenkarzinomen identifiziert Therapieziele</w:t>
      </w:r>
    </w:p>
    <w:p>
      <w:r>
        <w:rPr>
          <w:i/>
          <w:color w:val="666666"/>
          <w:sz w:val="18"/>
        </w:rPr>
        <w:t>Racz L et al.  ·  Eur J Cancer  ·  16.10.2026  ·  PMID 42762558</w:t>
      </w:r>
    </w:p>
    <w:p>
      <w:r>
        <w:t>Narrative Übersicht über genetische Landschaft von über 20 seltenen Schweißdrüsenkarzinom-Entitäten (SGC) mit Fokus auf Mutationslandschaften und therapeutische Angriffspunkte für aggressive Tumoren ohne Therapieoptionen im fortgeschrittenen Stadium.</w:t>
      </w:r>
    </w:p>
    <w:p>
      <w:r>
        <w:rPr>
          <w:b/>
        </w:rPr>
        <w:t xml:space="preserve">Ergebnis: </w:t>
      </w:r>
      <w:r>
        <w:t>SGCs zeigen hohe Mutationslast, UV-induzierte DNA-Schädigungssignaturen, EGFR-Dysregulation, Defekte in Homolog-Rekombinations-Reparatur. Rezidivierende Alterationen in TP53, PIK3CA, CDKN2A/B identifiziert. Fusionsgene teilweise entitätsspezifisch; digital-papilläres Adenokarzinom einziges HPV42-getriebenes SGC. Empfehlung: umfassendes molekulares Profiling + Systemregistern für seltene Krebsarten.</w:t>
      </w:r>
    </w:p>
    <w:p>
      <w:r>
        <w:rPr>
          <w:b/>
          <w:sz w:val="19"/>
        </w:rPr>
        <w:t xml:space="preserve">Übertragbarkeit: </w:t>
      </w:r>
      <w:r>
        <w:rPr>
          <w:sz w:val="19"/>
        </w:rPr>
        <w:t>Deutsche und europäische Autor:innen, deutschsprachige Zentren einbezogen, gültig für Zertifizierungsanforderungen</w:t>
      </w:r>
    </w:p>
    <w:p>
      <w:r>
        <w:rPr>
          <w:color w:val="5A7D3A"/>
          <w:sz w:val="18"/>
        </w:rPr>
        <w:t>https://pubmed.ncbi.nlm.nih.gov/42762558/</w:t>
      </w:r>
    </w:p>
    <w:p>
      <w:pPr>
        <w:pStyle w:val="Heading1"/>
      </w:pPr>
      <w:r>
        <w:t>Aufgenommen am 05.10.2026</w:t>
      </w:r>
    </w:p>
    <w:p>
      <w:pPr>
        <w:pStyle w:val="Heading2"/>
      </w:pPr>
      <w:r>
        <w:t>3D-DNA-Architektur in IDH1- und DNMT3A-mutanter AML identifiziert IGF1R- und MAPK-Vulnerabilität</w:t>
      </w:r>
    </w:p>
    <w:p>
      <w:r>
        <w:rPr>
          <w:i/>
          <w:color w:val="666666"/>
          <w:sz w:val="18"/>
        </w:rPr>
        <w:t>Steinhäuser S et al.  ·  Leukemia  ·  01.10.2026  ·  PMID 42823507</w:t>
      </w:r>
    </w:p>
    <w:p>
      <w:r>
        <w:t>Deutsche Studie an Primärproben von AML-Patienten, die mutations-spezifische Veränderungen der 3D-Genom-Architektur analysierte und damit verbundene therapeutische Targets identifizierte.</w:t>
      </w:r>
    </w:p>
    <w:p>
      <w:r>
        <w:rPr>
          <w:b/>
        </w:rPr>
        <w:t xml:space="preserve">Ergebnis: </w:t>
      </w:r>
      <w:r>
        <w:t>IDH1-mutante AML zeigte Sensitivität gegen IGF1R-Inhibitor BMS-754807, DNMT3A-mutante AML gegen p38/MAPK-Inhibitor ralimetinib. Die 3D-DNA-Konformationsveränderungen waren spezifisch für die Mutationen und wurden in Zelllinien und Patientenproben bestätigt.</w:t>
      </w:r>
    </w:p>
    <w:p>
      <w:r>
        <w:rPr>
          <w:b/>
          <w:sz w:val="19"/>
        </w:rPr>
        <w:t xml:space="preserve">Übertragbarkeit: </w:t>
      </w:r>
      <w:r>
        <w:rPr>
          <w:sz w:val="19"/>
        </w:rPr>
        <w:t>Deutsche Universitätsklinika (Kiel, Dresden, Berlin), identifiziert Therapieoptionen für AML-Subtypen</w:t>
      </w:r>
    </w:p>
    <w:p>
      <w:r>
        <w:rPr>
          <w:color w:val="5A7D3A"/>
          <w:sz w:val="18"/>
        </w:rPr>
        <w:t>https://pubmed.ncbi.nlm.nih.gov/42823507/</w:t>
      </w:r>
    </w:p>
    <w:p>
      <w:pPr>
        <w:pStyle w:val="Heading2"/>
      </w:pPr>
      <w:r>
        <w:t>Rassische Disparitäten in der Behandlung von Myelom-Knochenschaden: Afroamerikaner erhalten weniger BMAs</w:t>
      </w:r>
    </w:p>
    <w:p>
      <w:r>
        <w:rPr>
          <w:i/>
          <w:color w:val="666666"/>
          <w:sz w:val="18"/>
        </w:rPr>
        <w:t>Irimia RM et al.  ·  JCO Oncol Pract  ·  01.10.2026  ·  PMID 42821828</w:t>
      </w:r>
    </w:p>
    <w:p>
      <w:r>
        <w:t>Retrospektive Kohortenstudie an 350 neu diagnostizierten Myelompatienten (149 Afroamerikaner, 201 Weiße) zum Vergleich von Knochenereignissen und knochenmodifizierender Therapie im ersten Jahr nach Diagnose.</w:t>
      </w:r>
    </w:p>
    <w:p>
      <w:r>
        <w:rPr>
          <w:b/>
        </w:rPr>
        <w:t xml:space="preserve">Ergebnis: </w:t>
      </w:r>
      <w:r>
        <w:t>Afroamerikaner erhielten im ersten Jahr signifikant weniger knochenmodifizierende Agenzien (BMA): 64% vs. 77% (p=0,013), Mediandosen 5 vs. 7/Jahr (p&lt;0,001). Bei frühen Knochenereignissen (&lt;peridiagnostisch) waren Afroamerikaner weniger wahrscheinlich, ≥4 BMA-Dosen zu erhalten (46% vs. 76%, p&lt;0,001). Kumulatives SRE-Risiko post-peridiagnostisch unterschied sich nicht (16% vs. 21%, p=0,24).</w:t>
      </w:r>
    </w:p>
    <w:p>
      <w:r>
        <w:rPr>
          <w:b/>
          <w:sz w:val="19"/>
        </w:rPr>
        <w:t xml:space="preserve">Übertragbarkeit: </w:t>
      </w:r>
      <w:r>
        <w:rPr>
          <w:sz w:val="19"/>
        </w:rPr>
        <w:t>USA-Zentren, aber Erkenntnis zu Therapiedisparitäten und Unterbehandlung relevant für deutsche Versorgungsqualität</w:t>
      </w:r>
    </w:p>
    <w:p>
      <w:r>
        <w:rPr>
          <w:color w:val="5A7D3A"/>
          <w:sz w:val="18"/>
        </w:rPr>
        <w:t>https://pubmed.ncbi.nlm.nih.gov/42821828/</w:t>
      </w:r>
    </w:p>
    <w:p>
      <w:pPr>
        <w:pStyle w:val="Heading2"/>
      </w:pPr>
      <w:r>
        <w:t>Nivolumab + Ipilimumab + Strahlentherapie in mikrosatellit-stabiler CRC: ORR 10%, aber 25% bei Patienten ohne Lebermetastasen</w:t>
      </w:r>
    </w:p>
    <w:p>
      <w:r>
        <w:rPr>
          <w:i/>
          <w:color w:val="666666"/>
          <w:sz w:val="18"/>
        </w:rPr>
        <w:t>Pappas L et al.  ·  Clin Cancer Res  ·  01.10.2026  ·  PMID 42820689</w:t>
      </w:r>
    </w:p>
    <w:p>
      <w:r>
        <w:t>US-amerikanische Phase-II-Studie zur Kombination von Immune-Checkpoint-Inhibitoren mit nicht-ablativer Strahlentherapie bei refraktärer mikrosatellit-stabiler metastasierter CRC.</w:t>
      </w:r>
    </w:p>
    <w:p>
      <w:r>
        <w:rPr>
          <w:b/>
        </w:rPr>
        <w:t xml:space="preserve">Ergebnis: </w:t>
      </w:r>
      <w:r>
        <w:t>30 Patienten eingeschlossen: Gesamtansprechrate 10,0%, Krankheitskontrollrate 33,3% (unbestrahlte Läsionen). Bei Patienten ohne aktive Lebermetastasen (n=8) ORR 25%, bei Lebermetastasen (n=22) ORR 4,6%. Mediane PFS 2,4 Monate, mediane OS 12,8 Monate (95% KI 6,8–17,9). Nur 10% Grad-4-Toxizität (Lymphopenie).</w:t>
      </w:r>
    </w:p>
    <w:p>
      <w:r>
        <w:rPr>
          <w:b/>
          <w:sz w:val="19"/>
        </w:rPr>
        <w:t xml:space="preserve">Übertragbarkeit: </w:t>
      </w:r>
      <w:r>
        <w:rPr>
          <w:sz w:val="19"/>
        </w:rPr>
        <w:t>USA-Zentren, Mechanismus (Strahlentherapie + ICI) auf deutsche Zentren übertragbar</w:t>
      </w:r>
    </w:p>
    <w:p>
      <w:r>
        <w:rPr>
          <w:color w:val="5A7D3A"/>
          <w:sz w:val="18"/>
        </w:rPr>
        <w:t>https://pubmed.ncbi.nlm.nih.gov/42820689/</w:t>
      </w:r>
    </w:p>
    <w:p>
      <w:pPr>
        <w:pStyle w:val="Heading2"/>
      </w:pPr>
      <w:r>
        <w:t>TROP2-ADC F0024 in triple-negativer Brustkrebs: ORR 37,9% bei 10 mg/kg, mediane PFS 10,5 Monate</w:t>
      </w:r>
    </w:p>
    <w:p>
      <w:r>
        <w:rPr>
          <w:i/>
          <w:color w:val="666666"/>
          <w:sz w:val="18"/>
        </w:rPr>
        <w:t>Du Y et al.  ·  Eur J Cancer  ·  24.09.2026  ·  PMID 42810148</w:t>
      </w:r>
    </w:p>
    <w:p>
      <w:r>
        <w:t>Phase-I-Studie mit Dosisexpansion eines TROP2-gerichteten Antikörper-Wirkstoff-Konjugats in fortgeschrittenen Tumoren, Fokus triple-negative Brustkrebs (TNBC).</w:t>
      </w:r>
    </w:p>
    <w:p>
      <w:r>
        <w:rPr>
          <w:b/>
        </w:rPr>
        <w:t xml:space="preserve">Ergebnis: </w:t>
      </w:r>
      <w:r>
        <w:t>Bei 10 mg/kg (empfohlene Phase-II-Dosis): ORR 37,9%, mediane PFS 10,5 Monate in TNBC-Kohorte (n=29). Grad-≥3-Nebenwirkungen bei 57,7% (vorwiegend Hämatotoxizität). Dosiseskalation bei 15 mg/kg wegen kumulativer Toxizität gestoppt.</w:t>
      </w:r>
    </w:p>
    <w:p>
      <w:r>
        <w:rPr>
          <w:b/>
          <w:sz w:val="19"/>
        </w:rPr>
        <w:t xml:space="preserve">Übertragbarkeit: </w:t>
      </w:r>
      <w:r>
        <w:rPr>
          <w:sz w:val="19"/>
        </w:rPr>
        <w:t>China, aber Wirkmuster und Sicherheitsprofil für Phase-II-Planung international relevant</w:t>
      </w:r>
    </w:p>
    <w:p>
      <w:r>
        <w:rPr>
          <w:color w:val="5A7D3A"/>
          <w:sz w:val="18"/>
        </w:rPr>
        <w:t>https://pubmed.ncbi.nlm.nih.gov/42810148/</w:t>
      </w:r>
    </w:p>
    <w:p>
      <w:pPr>
        <w:pStyle w:val="Heading2"/>
      </w:pPr>
      <w:r>
        <w:t>Zugang zu klinischen Studien bei Nierenzellkarzinom: Innovation erreicht unterversorgte Gemeinschaften nicht</w:t>
      </w:r>
    </w:p>
    <w:p>
      <w:r>
        <w:rPr>
          <w:i/>
          <w:color w:val="666666"/>
          <w:sz w:val="18"/>
        </w:rPr>
        <w:t>Nandakumar V et al.  ·  JCO Oncol Pract  ·  29.09.2026  ·  PMID 42809806</w:t>
      </w:r>
    </w:p>
    <w:p>
      <w:r>
        <w:t>Qualitative Analyse der Barrieren für den Zugang zu klinischen Studien bei Nierenzellkarzinom in den USA, mit Fokus auf strukturelle und sozioökonomische Ungleichheiten.</w:t>
      </w:r>
    </w:p>
    <w:p>
      <w:r>
        <w:rPr>
          <w:b/>
        </w:rPr>
        <w:t xml:space="preserve">Ergebnis: </w:t>
      </w:r>
      <w:r>
        <w:t>Identifizierte Schlüsselbarrieren: geografische Distanz, finanzielle Belastung, mangelnde Informationen, Transportprobleme und systeminterne Aufnahmekriterien. Unterrepräsentierte Patienten hatten deutlich niedrigere Teilnahmeraten. Patienten in ländlichen Gegenden und mit niedrigerem Einkommen waren systematisch ausgeschlossen.</w:t>
      </w:r>
    </w:p>
    <w:p>
      <w:r>
        <w:rPr>
          <w:b/>
          <w:sz w:val="19"/>
        </w:rPr>
        <w:t xml:space="preserve">Übertragbarkeit: </w:t>
      </w:r>
      <w:r>
        <w:rPr>
          <w:sz w:val="19"/>
        </w:rPr>
        <w:t>USA-System, aber Erkenntnisse zu Zugangsungleichheiten gelten teilweise für deutsche Versorgungsregionen</w:t>
      </w:r>
    </w:p>
    <w:p>
      <w:r>
        <w:rPr>
          <w:color w:val="5A7D3A"/>
          <w:sz w:val="18"/>
        </w:rPr>
        <w:t>https://pubmed.ncbi.nlm.nih.gov/42809806/</w:t>
      </w:r>
    </w:p>
    <w:p>
      <w:pPr>
        <w:pStyle w:val="Heading2"/>
      </w:pPr>
      <w:r>
        <w:t>Sentinelbiopsie nach Neoadjuvanz bei lokal fortgeschrittener Brustkrebs: Falsch-negativ-Rate 2,1%</w:t>
      </w:r>
    </w:p>
    <w:p>
      <w:r>
        <w:rPr>
          <w:i/>
          <w:color w:val="666666"/>
          <w:sz w:val="18"/>
        </w:rPr>
        <w:t>Barrio AV et al.  ·  J Clin Oncol  ·  29.09.2026  ·  PMID 42809799</w:t>
      </w:r>
    </w:p>
    <w:p>
      <w:r>
        <w:t>Prospektive US-amerikanische Studie zum Staging der Axilla mittels Sentinelbiopsie nach neoadjuvanter Chemotherapie bei Patientinnen mit lokal fortgeschrittenem Brustkrebs (cT4/cN2-N3).</w:t>
      </w:r>
    </w:p>
    <w:p>
      <w:r>
        <w:rPr>
          <w:b/>
        </w:rPr>
        <w:t xml:space="preserve">Ergebnis: </w:t>
      </w:r>
      <w:r>
        <w:t>Von 145 Patienten wurden 87 mit adäquatem Mapping ausgewertet; Sentinelknoten wurden in 74% identifiziert. Falsch-negativ-Rate 2,1% (95% KI 0,1–12,7%), pathologische komplette Response 46%, nur 1 falsch-negativ in 47 Patienten mit Resterkrankung.</w:t>
      </w:r>
    </w:p>
    <w:p>
      <w:r>
        <w:rPr>
          <w:b/>
          <w:sz w:val="19"/>
        </w:rPr>
        <w:t xml:space="preserve">Übertragbarkeit: </w:t>
      </w:r>
      <w:r>
        <w:rPr>
          <w:sz w:val="19"/>
        </w:rPr>
        <w:t>USA-Zentren, aber Sentinelbiopsie-Standard übertragbar auf deutsche Zentren</w:t>
      </w:r>
    </w:p>
    <w:p>
      <w:r>
        <w:rPr>
          <w:color w:val="5A7D3A"/>
          <w:sz w:val="18"/>
        </w:rPr>
        <w:t>https://pubmed.ncbi.nlm.nih.gov/42809799/</w:t>
      </w:r>
    </w:p>
    <w:p>
      <w:pPr>
        <w:pStyle w:val="Heading1"/>
      </w:pPr>
      <w:r>
        <w:t>Aufgenommen am 04.10.2026</w:t>
      </w:r>
    </w:p>
    <w:p>
      <w:pPr>
        <w:pStyle w:val="Heading2"/>
      </w:pPr>
      <w:r>
        <w:t>Urin-cfRNA detektiert Blasenkrebs mit 95% Sensitivität, sagt BCG-Response voraus</w:t>
      </w:r>
    </w:p>
    <w:p>
      <w:r>
        <w:rPr>
          <w:i/>
          <w:color w:val="666666"/>
          <w:sz w:val="18"/>
        </w:rPr>
        <w:t>Liu KJ et al.  ·  Nat Med  ·  02.10.2026  ·  PMID 42827132</w:t>
      </w:r>
    </w:p>
    <w:p>
      <w:r>
        <w:t>Prospektive Validierungsstudie einer Liquid-Biopsy-Methode (uRARE-seq) für tumorspezifische RNA-Fragmente im Urin bei 683 Patienten mit und ohne Urogenital-Karzinome.</w:t>
      </w:r>
    </w:p>
    <w:p>
      <w:r>
        <w:rPr>
          <w:b/>
        </w:rPr>
        <w:t xml:space="preserve">Ergebnis: </w:t>
      </w:r>
      <w:r>
        <w:t>Für lokalisiertes Blasenkarzinom: 95% Sensitivität bei 90% Spezifität. Urin-cfRNA übertraf tumor-DNA-Analyse und war unaffiziert von Feldeffekt-Mutationen. Biomarker in Urin vor BCG-Therapie (Area-under-the-Curve 0,93) sagte BCG-Response voraus: Responder zeigten T-Zell- und Immun-Signaturen, Nicht-Responder Proliferations-Gene. Minimal Residual Disease wurde sensitiv detektiert. Ein Ansatz mit klinischem Nutzenpotential für Blasenkarzinom-Stratifizierung.</w:t>
      </w:r>
    </w:p>
    <w:p>
      <w:r>
        <w:rPr>
          <w:b/>
          <w:sz w:val="19"/>
        </w:rPr>
        <w:t xml:space="preserve">Übertragbarkeit: </w:t>
      </w:r>
      <w:r>
        <w:rPr>
          <w:sz w:val="19"/>
        </w:rPr>
        <w:t>USA-basierte Studie; Liquid-Biopsy-Methode technisch übertragbar, prospektive Validierung erforderlich.</w:t>
      </w:r>
    </w:p>
    <w:p>
      <w:r>
        <w:rPr>
          <w:color w:val="5A7D3A"/>
          <w:sz w:val="18"/>
        </w:rPr>
        <w:t>https://pubmed.ncbi.nlm.nih.gov/42827132/</w:t>
      </w:r>
    </w:p>
    <w:p>
      <w:pPr>
        <w:pStyle w:val="Heading2"/>
      </w:pPr>
      <w:r>
        <w:t>Ibrutinib-Venetoclax senkt Gesamtüberleben bei älteren CLL-Patienten deutlich</w:t>
      </w:r>
    </w:p>
    <w:p>
      <w:r>
        <w:rPr>
          <w:i/>
          <w:color w:val="666666"/>
          <w:sz w:val="18"/>
        </w:rPr>
        <w:t>U Niemann C et al.  ·  Leukemia  ·  02.10.2026  ·  PMID 42827117</w:t>
      </w:r>
    </w:p>
    <w:p>
      <w:r>
        <w:t>Randomisierte Phase-III-Studie (GLOW) verglich Ibrutinib-Venetoclax mit Chlorambucil-Obinutuzumab bei älteren/komorbiditätsbelasteten CLL-Patienten mit 67-Monat-Nachverfolgung.</w:t>
      </w:r>
    </w:p>
    <w:p>
      <w:r>
        <w:rPr>
          <w:b/>
        </w:rPr>
        <w:t xml:space="preserve">Ergebnis: </w:t>
      </w:r>
      <w:r>
        <w:t>Gesamtüberleben nach 66 Monaten: 79,0% vs 60,8% (Hazard Ratio 0,46). Ibrutinib-Venetoclax reduzierte das Risiko für Zweitlinientherapie um 77,4%. Progressionsfreies Überleben nach 66 Monaten: 51,7% vs 18,1% (HR 0,27). Grade-3/4-toxizitätsfreies PFS 21,4 Monate länger (51,6 vs 30,2 Monate). Eine klare Überlegenheit für die fixierte Zweierkombination bei älteren Patienten.</w:t>
      </w:r>
    </w:p>
    <w:p>
      <w:r>
        <w:rPr>
          <w:b/>
          <w:sz w:val="19"/>
        </w:rPr>
        <w:t xml:space="preserve">Übertragbarkeit: </w:t>
      </w:r>
      <w:r>
        <w:rPr>
          <w:sz w:val="19"/>
        </w:rPr>
        <w:t>Europäische Multicenterstudie mit HOVON-Zentren, deutschem Versorgungsstandard entsprechend.</w:t>
      </w:r>
    </w:p>
    <w:p>
      <w:r>
        <w:rPr>
          <w:color w:val="5A7D3A"/>
          <w:sz w:val="18"/>
        </w:rPr>
        <w:t>https://pubmed.ncbi.nlm.nih.gov/42827117/</w:t>
      </w:r>
    </w:p>
    <w:p>
      <w:pPr>
        <w:pStyle w:val="Heading2"/>
      </w:pPr>
      <w:r>
        <w:t>Chemotherapie + Krebsimpfstoff: TCF1+-T-Zellen erklären synergistischen Effekt</w:t>
      </w:r>
    </w:p>
    <w:p>
      <w:r>
        <w:rPr>
          <w:i/>
          <w:color w:val="666666"/>
          <w:sz w:val="18"/>
        </w:rPr>
        <w:t>Noblecourt L et al.  ·  Cancer Cell  ·  02.10.2026  ·  PMID 42826713</w:t>
      </w:r>
    </w:p>
    <w:p>
      <w:r>
        <w:t>Präklinische und erste translatorische Studie zur mechanistischen Erklärung, warum Carboplatin-Paclitaxel und Cyclophosphamid die Effizienz von Virus-Vektor-Impfstoffen gegen Tumorantigen erhöhen; Experimente mit Maus- und Patientenzellen.</w:t>
      </w:r>
    </w:p>
    <w:p>
      <w:r>
        <w:rPr>
          <w:b/>
        </w:rPr>
        <w:t xml:space="preserve">Ergebnis: </w:t>
      </w:r>
      <w:r>
        <w:t>Carboplatin-Paclitaxel induziert frühe, antigen-unabhängige Expansion von Stamm-ähnlichen TCF1+CD8+-T-Zellen. Genetische oder pharmakologische TCF1-Blockierung hebt den Immunaduvans-Effekt auf. Kombinationstriple (Vakzin + CarboTaxol + PD-1-Blockade) verbessert Tumorkon trolle und Überleben in Mausmodellen stärker als Einzelbehandlungen. Der TCF1-abhängige Mechanismus erklärt Synergie und identifiziert neue Kombinationsstrategien für klinische Evaluation.</w:t>
      </w:r>
    </w:p>
    <w:p>
      <w:r>
        <w:rPr>
          <w:b/>
          <w:sz w:val="19"/>
        </w:rPr>
        <w:t xml:space="preserve">Übertragbarkeit: </w:t>
      </w:r>
      <w:r>
        <w:rPr>
          <w:sz w:val="19"/>
        </w:rPr>
        <w:t>UK/Niederlande-Kohorte, mechanistisches Verständnis transkulturell relevant für Impfstoff-Kombinationen.</w:t>
      </w:r>
    </w:p>
    <w:p>
      <w:r>
        <w:rPr>
          <w:color w:val="5A7D3A"/>
          <w:sz w:val="18"/>
        </w:rPr>
        <w:t>https://pubmed.ncbi.nlm.nih.gov/42826713/</w:t>
      </w:r>
    </w:p>
    <w:p>
      <w:pPr>
        <w:pStyle w:val="Heading2"/>
      </w:pPr>
      <w:r>
        <w:t>ERBB2-Mutationen in Lungenkarzinom: Heterogenität und Trastuzumab-Deruxtecan-Benefit</w:t>
      </w:r>
    </w:p>
    <w:p>
      <w:r>
        <w:rPr>
          <w:i/>
          <w:color w:val="666666"/>
          <w:sz w:val="18"/>
        </w:rPr>
        <w:t>Yamashita M et al.  ·  Eur J Cancer  ·  29.09.2026  ·  PMID 42826440</w:t>
      </w:r>
    </w:p>
    <w:p>
      <w:r>
        <w:t>Japanische Real-World-Kohorte von 319 Patienten mit ERBB2-aktivierenden Mutationen im NSCLC mittels Genomik-Datenbank untersucht.</w:t>
      </w:r>
    </w:p>
    <w:p>
      <w:r>
        <w:rPr>
          <w:b/>
        </w:rPr>
        <w:t xml:space="preserve">Ergebnis: </w:t>
      </w:r>
      <w:r>
        <w:t>74% hatten kanonische Tyrosinkinase-Domänen-Insertionen; 26% nonkanonische Varianten (TKD-Missense 8%, transmembran 10%, extrazelluläre Domäne 8%). Co-driver-Alterationen in nur 5,6% (überwiegend nonkanonisch). 27% der 288 Patienten (78 von 288) erhielten Trastuzumab-Deruxtecan; time-abhängige T-DXd-Exposition assoziiert mit reduziertem Mortalitätsrisiko (adjusted HR 0,63; 95% KI 0,39-1,01; p=0,057). Wesentliche molekulare Heterogenität mit therapeutischen Implikationen.</w:t>
      </w:r>
    </w:p>
    <w:p>
      <w:r>
        <w:rPr>
          <w:b/>
          <w:sz w:val="19"/>
        </w:rPr>
        <w:t xml:space="preserve">Übertragbarkeit: </w:t>
      </w:r>
      <w:r>
        <w:rPr>
          <w:sz w:val="19"/>
        </w:rPr>
        <w:t>Japan, vergleichbare Genomik-Strukturen; Trastuzumab-Deruxtecan in Deutschland verfügbar.</w:t>
      </w:r>
    </w:p>
    <w:p>
      <w:r>
        <w:rPr>
          <w:color w:val="5A7D3A"/>
          <w:sz w:val="18"/>
        </w:rPr>
        <w:t>https://pubmed.ncbi.nlm.nih.gov/42826440/</w:t>
      </w:r>
    </w:p>
    <w:p>
      <w:pPr>
        <w:pStyle w:val="Heading2"/>
      </w:pPr>
      <w:r>
        <w:t>Tirabrutinib für rezidivertes primäres ZNS-Lymphom: 67% Ansprechquote, rascher Wirkeintritt</w:t>
      </w:r>
    </w:p>
    <w:p>
      <w:r>
        <w:rPr>
          <w:i/>
          <w:color w:val="666666"/>
          <w:sz w:val="18"/>
        </w:rPr>
        <w:t>Grommes C et al.  ·  Blood  ·  01.10.2026  ·  PMID 42821736</w:t>
      </w:r>
    </w:p>
    <w:p>
      <w:r>
        <w:t>Phase-1b/2-Studie zu dem BTK-Inhibitor Tirabrutinib als Monotherapie bei 48 Patienten mit rezidiviertem/refraktärem pCNSL nach Hochdosis-Methotrexat-Vorbehandlung.</w:t>
      </w:r>
    </w:p>
    <w:p>
      <w:r>
        <w:rPr>
          <w:b/>
        </w:rPr>
        <w:t xml:space="preserve">Ergebnis: </w:t>
      </w:r>
      <w:r>
        <w:t>Objektive Ansprechquote 67% (95% KI 52–80%), vollständige Remission 44% (95% KI 29–59%). Mediane Ansprechdauer 9,3 Monate (95% KI 4,6–14,6), mediane Zeit bis Ansprechen 1,0 Monat. Treatment-related adverse events in 75% (häufig Anämie 19%, Ausschlag 17%, Fatigue 15%), Grade-≥3 in 27% (Neutropenie 8%). Ein behandelbares Toxizitätsprofil für rare Indikation mit hohem ungedecktem Bedarf.</w:t>
      </w:r>
    </w:p>
    <w:p>
      <w:r>
        <w:rPr>
          <w:b/>
          <w:sz w:val="19"/>
        </w:rPr>
        <w:t xml:space="preserve">Übertragbarkeit: </w:t>
      </w:r>
      <w:r>
        <w:rPr>
          <w:sz w:val="19"/>
        </w:rPr>
        <w:t>USA-Studie, BTK-Inhibitor-Klasse europaweit verfügbar; Zentrumserfordernis für pCNSL-Versorgung prüfen.</w:t>
      </w:r>
    </w:p>
    <w:p>
      <w:r>
        <w:rPr>
          <w:color w:val="5A7D3A"/>
          <w:sz w:val="18"/>
        </w:rPr>
        <w:t>https://pubmed.ncbi.nlm.nih.gov/42821736/</w:t>
      </w:r>
    </w:p>
    <w:p>
      <w:pPr>
        <w:pStyle w:val="Heading2"/>
      </w:pPr>
      <w:r>
        <w:t>Leitlinie Multiples Myelom 2026 – kontinuierliche Aktualisierung basierend auf neuer Evidenz</w:t>
      </w:r>
    </w:p>
    <w:p>
      <w:r>
        <w:rPr>
          <w:i/>
          <w:color w:val="666666"/>
          <w:sz w:val="18"/>
        </w:rPr>
        <w:t>Banerjee R et al.  ·  J Clin Oncol  ·  30.09.2026  ·  PMID 42814948</w:t>
      </w:r>
    </w:p>
    <w:p>
      <w:r>
        <w:t>ASCO Living Guideline für Behandlung des Multiplen Myeloms mit regelmäßigen Aktualisierungen durch Expertengruppe bei schnell wechselnder Evidenz.</w:t>
      </w:r>
    </w:p>
    <w:p>
      <w:r>
        <w:rPr>
          <w:b/>
        </w:rPr>
        <w:t xml:space="preserve">Ergebnis: </w:t>
      </w:r>
      <w:r>
        <w:t>Leitlinie wird kontinuierlich aktualisiert; konkrete Therapie-Empfehlungen folgen Systematische-Review-Prozeduren und werden mindestens jährlich überprüft. Die aktuelle Version 2026.1.3 berücksichtigt neue Kombinationsprotokolle, CAR-T und zielgerichtete Therapien mit prognose-adaptiven Strategien für Risiko-Stratifizierung.</w:t>
      </w:r>
    </w:p>
    <w:p>
      <w:r>
        <w:rPr>
          <w:b/>
          <w:sz w:val="19"/>
        </w:rPr>
        <w:t xml:space="preserve">Übertragbarkeit: </w:t>
      </w:r>
      <w:r>
        <w:rPr>
          <w:sz w:val="19"/>
        </w:rPr>
        <w:t>USA-ASCO-Guideline; weit überwiegend international anwendbar, Dosierungen/Verfügbarkeiten lokal zu prüfen.</w:t>
      </w:r>
    </w:p>
    <w:p>
      <w:r>
        <w:rPr>
          <w:color w:val="5A7D3A"/>
          <w:sz w:val="18"/>
        </w:rPr>
        <w:t>https://pubmed.ncbi.nlm.nih.gov/42814948/</w:t>
      </w:r>
    </w:p>
    <w:p>
      <w:pPr>
        <w:pStyle w:val="Heading2"/>
      </w:pPr>
      <w:r>
        <w:t>Aglatimagene bei lokalisiertem Prostatakarzinom: kritische Neubeobachtung</w:t>
      </w:r>
    </w:p>
    <w:p>
      <w:r>
        <w:rPr>
          <w:i/>
          <w:color w:val="666666"/>
          <w:sz w:val="18"/>
        </w:rPr>
        <w:t>Büttner T et al.  ·  Lancet Oncol  ·  Okt. 2026  ·  PMID 42805200</w:t>
      </w:r>
    </w:p>
    <w:p>
      <w:r>
        <w:t>Kommentar deutschsprachiger Urologen zur Neubewertung des Viren-Therapiestoffs Aglatimagene bei lokalisiertem Prostatakarzinom.</w:t>
      </w:r>
    </w:p>
    <w:p>
      <w:r>
        <w:rPr>
          <w:b/>
        </w:rPr>
        <w:t xml:space="preserve">Ergebnis: </w:t>
      </w:r>
      <w:r>
        <w:t>Keine konkreten Endpunkte im Abstract; die Arbeit erörtert Limitationen bisheriger Daten zu einer experimentellen Therapie mit unklarer klinischer Rolle. Die Autoren fordern Klärung vor breiter Anwendung.</w:t>
      </w:r>
    </w:p>
    <w:p>
      <w:r>
        <w:rPr>
          <w:b/>
          <w:sz w:val="19"/>
        </w:rPr>
        <w:t xml:space="preserve">Übertragbarkeit: </w:t>
      </w:r>
      <w:r>
        <w:rPr>
          <w:sz w:val="19"/>
        </w:rPr>
        <w:t>Deutschland (Bonn, Erlangen), deutsches Versorgungssystem betroffen.</w:t>
      </w:r>
    </w:p>
    <w:p>
      <w:r>
        <w:rPr>
          <w:color w:val="5A7D3A"/>
          <w:sz w:val="18"/>
        </w:rPr>
        <w:t>https://pubmed.ncbi.nlm.nih.gov/42805200/</w:t>
      </w:r>
    </w:p>
    <w:p>
      <w:pPr>
        <w:pStyle w:val="Heading1"/>
      </w:pPr>
      <w:r>
        <w:t>Aufgenommen am 03.10.2026</w:t>
      </w:r>
    </w:p>
    <w:p>
      <w:pPr>
        <w:pStyle w:val="Heading2"/>
      </w:pPr>
      <w:r>
        <w:t>Leitlinie Infektionsprophylaxe bei pädiatrischer Onkologie: aktualisierte Empfehlungen</w:t>
      </w:r>
    </w:p>
    <w:p>
      <w:r>
        <w:rPr>
          <w:i/>
          <w:color w:val="666666"/>
          <w:sz w:val="18"/>
        </w:rPr>
        <w:t>Morgan JE et al.  ·  J Clin Oncol  ·  02.10.2026  ·  PMID 42826360</w:t>
      </w:r>
    </w:p>
    <w:p>
      <w:r>
        <w:t>Systematische Überprüfung und Harmonisierung von Leitlinienempfehlungen zur antibakteriellen und antimykotischen Prophylaxe bei Kindern mit Krebs und nach Stammzelltransplantation.</w:t>
      </w:r>
    </w:p>
    <w:p>
      <w:r>
        <w:rPr>
          <w:b/>
        </w:rPr>
        <w:t xml:space="preserve">Ergebnis: </w:t>
      </w:r>
      <w:r>
        <w:t>Starke Empfehlung für Antifungal-Prophylaxe (Echinocandin oder Mold-active Azol) bei AML und allogener Transplantation; konditionale Empfehlung für Antibakteriell-Prophylaxe mit Levofloxacin bei AML und rezidivierter ALL. 13 neue randomisierte Studien seit 2019 identifiziert; insgesamt 195 Studien berücksichtigt.</w:t>
      </w:r>
    </w:p>
    <w:p>
      <w:r>
        <w:rPr>
          <w:b/>
          <w:sz w:val="19"/>
        </w:rPr>
        <w:t xml:space="preserve">Übertragbarkeit: </w:t>
      </w:r>
      <w:r>
        <w:rPr>
          <w:sz w:val="19"/>
        </w:rPr>
        <w:t>Deutschland und europäische Systeme, international konsentiertes Vorgehen</w:t>
      </w:r>
    </w:p>
    <w:p>
      <w:r>
        <w:rPr>
          <w:color w:val="5A7D3A"/>
          <w:sz w:val="18"/>
        </w:rPr>
        <w:t>https://pubmed.ncbi.nlm.nih.gov/42826360/</w:t>
      </w:r>
    </w:p>
    <w:p>
      <w:pPr>
        <w:pStyle w:val="Heading2"/>
      </w:pPr>
      <w:r>
        <w:t>Pembrolizumab-GVD plus Stammzelltransplantation bei rezidiviertem Hodgkin-Lymphom: 5-Jahres-Follow-up</w:t>
      </w:r>
    </w:p>
    <w:p>
      <w:r>
        <w:rPr>
          <w:i/>
          <w:color w:val="666666"/>
          <w:sz w:val="18"/>
        </w:rPr>
        <w:t>Patel K et al.  ·  Blood  ·  08.09.2026  ·  PMID 42825495</w:t>
      </w:r>
    </w:p>
    <w:p>
      <w:r>
        <w:t>Phase-2-Studie bei transplantationsgeeigneten Patienten mit rezidiviertem/refraktärem Hodgkin-Lymphom: Pembrolizumab plus Gemcitabin/Vinorelbine/liposomales Doxorubicin gefolgt von Hochdosis-Chemotherapie mit autologer Stammzellrescue.</w:t>
      </w:r>
    </w:p>
    <w:p>
      <w:r>
        <w:rPr>
          <w:b/>
        </w:rPr>
        <w:t xml:space="preserve">Ergebnis: </w:t>
      </w:r>
      <w:r>
        <w:t>Komplettremissionsrate 95% nach bis zu 4 Zyklen Pembrolizumab-GVD. Nach Median 57 Monaten: geschätzte 5-Jahres-PFS 91%, Gesamtüberleben 94%. Nur 1 Rezidiv nach Protokoll-Therapie, 2 therapieassoziierte Todesfälle. Keine neuen Sicherheitssignale.</w:t>
      </w:r>
    </w:p>
    <w:p>
      <w:r>
        <w:rPr>
          <w:b/>
          <w:sz w:val="19"/>
        </w:rPr>
        <w:t xml:space="preserve">Übertragbarkeit: </w:t>
      </w:r>
      <w:r>
        <w:rPr>
          <w:sz w:val="19"/>
        </w:rPr>
        <w:t>USA-basiert, aber intensive Chemotherapie + Immuntherapie + Transplantation ist in deutschen Zentren etabliert</w:t>
      </w:r>
    </w:p>
    <w:p>
      <w:r>
        <w:rPr>
          <w:color w:val="5A7D3A"/>
          <w:sz w:val="18"/>
        </w:rPr>
        <w:t>https://pubmed.ncbi.nlm.nih.gov/42825495/</w:t>
      </w:r>
    </w:p>
    <w:p>
      <w:pPr>
        <w:pStyle w:val="Heading2"/>
      </w:pPr>
      <w:r>
        <w:t>Tuberkulose-Netzwerk als Werkzeug für frühe Lungenkrebserkennung: Modell Brasilien</w:t>
      </w:r>
    </w:p>
    <w:p>
      <w:r>
        <w:rPr>
          <w:i/>
          <w:color w:val="666666"/>
          <w:sz w:val="18"/>
        </w:rPr>
        <w:t>Gruber K  ·  Lancet Oncol  ·  01.10.2026  ·  PMID 42822486</w:t>
      </w:r>
    </w:p>
    <w:p>
      <w:r>
        <w:t>Bericht über das Potenzial, bestehende Tuberkulose-Überwachungssysteme in Brasilien für die Frühdiagnose von Lungenkrebs zu nutzen.</w:t>
      </w:r>
    </w:p>
    <w:p>
      <w:r>
        <w:rPr>
          <w:b/>
        </w:rPr>
        <w:t xml:space="preserve">Ergebnis: </w:t>
      </w:r>
      <w:r>
        <w:t>TB-Netzwerk mit etablierten Screening- und Diagnostik-Strukturen könnte Lungenkrebserkennung beschleunigen; bisherige Aktivitäten und Barrieren werden erörtert, ohne quantitative Endpunkte.</w:t>
      </w:r>
    </w:p>
    <w:p>
      <w:r>
        <w:rPr>
          <w:b/>
          <w:sz w:val="19"/>
        </w:rPr>
        <w:t xml:space="preserve">Übertragbarkeit: </w:t>
      </w:r>
      <w:r>
        <w:rPr>
          <w:sz w:val="19"/>
        </w:rPr>
        <w:t>Niedrig-Ressourcen-Länder, für Deutschland ohne unmittelbare Anwendung</w:t>
      </w:r>
    </w:p>
    <w:p>
      <w:r>
        <w:rPr>
          <w:color w:val="5A7D3A"/>
          <w:sz w:val="18"/>
        </w:rPr>
        <w:t>https://pubmed.ncbi.nlm.nih.gov/42822486/</w:t>
      </w:r>
    </w:p>
    <w:p>
      <w:pPr>
        <w:pStyle w:val="Heading2"/>
      </w:pPr>
      <w:r>
        <w:t>Androgen-Rezeptor-Inhibitoren bessern PFS bei metastasiertem hormonsensitivem Prostatakarzinom</w:t>
      </w:r>
    </w:p>
    <w:p>
      <w:r>
        <w:rPr>
          <w:i/>
          <w:color w:val="666666"/>
          <w:sz w:val="18"/>
        </w:rPr>
        <w:t>Nwogu IB et al.  ·  JCO Oncol Pract  ·  01.10.2026  ·  PMID 42821836</w:t>
      </w:r>
    </w:p>
    <w:p>
      <w:r>
        <w:t>Real-World-Vergleichsstudie von Abiraterone, Apalutamide, Enzalutamide und Docetaxel je mit ADT bei metastasiertem hormonsensitivem Prostatakarzinom (mHSPC) in den USA 2019–2023.</w:t>
      </w:r>
    </w:p>
    <w:p>
      <w:r>
        <w:rPr>
          <w:b/>
        </w:rPr>
        <w:t xml:space="preserve">Ergebnis: </w:t>
      </w:r>
      <w:r>
        <w:t>Unter 9.141 Männern: ARPI-Dubletten zeigten gegenüber Docetaxel-Dubletten überlegene PFS (Abiraterone: aHR 0,60 [95% CI 0,55–0,66]; Apalutamide: aHR 0,64; Enzalutamide: aHR 0,57). Gesamtüberleben vergleichbar. TTP und Zeit bis neue Therapie ebenfalls besser unter ARPIs. Keine Unterschiede zwischen den ARPIs.</w:t>
      </w:r>
    </w:p>
    <w:p>
      <w:r>
        <w:rPr>
          <w:b/>
          <w:sz w:val="19"/>
        </w:rPr>
        <w:t xml:space="preserve">Übertragbarkeit: </w:t>
      </w:r>
      <w:r>
        <w:rPr>
          <w:sz w:val="19"/>
        </w:rPr>
        <w:t>USA-Gesundheitssystem mit unterschiedlicher Finanzierung, Ergebnis (ARPI-Überlegenheit) ist aber geräteunabhängig übertragbar</w:t>
      </w:r>
    </w:p>
    <w:p>
      <w:r>
        <w:rPr>
          <w:color w:val="5A7D3A"/>
          <w:sz w:val="18"/>
        </w:rPr>
        <w:t>https://pubmed.ncbi.nlm.nih.gov/42821836/</w:t>
      </w:r>
    </w:p>
    <w:p>
      <w:pPr>
        <w:pStyle w:val="Heading2"/>
      </w:pPr>
      <w:r>
        <w:t>Platinchemoresistentes Ovarialkarzinom: Behandlungsintensivierung verbessert Remissionsraten</w:t>
      </w:r>
    </w:p>
    <w:p>
      <w:r>
        <w:rPr>
          <w:i/>
          <w:color w:val="666666"/>
          <w:sz w:val="18"/>
        </w:rPr>
        <w:t>You B et al.  ·  JAMA Oncol  ·  01.10.2026  ·  PMID 42821287</w:t>
      </w:r>
    </w:p>
    <w:p>
      <w:r>
        <w:t>Systematische Übersicht über Strategien zur Chemosensitivierung bei schlecht chemosensitivem fortgeschrittenem serösen Ovarialkarzinom anhand von retrospektiven Post-hoc-Analysen prospektiver Phase-3-Studien.</w:t>
      </w:r>
    </w:p>
    <w:p>
      <w:r>
        <w:rPr>
          <w:b/>
        </w:rPr>
        <w:t xml:space="preserve">Ergebnis: </w:t>
      </w:r>
      <w:r>
        <w:t>Wöchentlich dosiertes Paclitaxel zeigte in der "2 red flags"-Subgruppe (schlechte Chemosensitivität) der ICON-8-Studie verbesserte Überlebensergebnisse. Bevacizumab addiert zu neoadjuvanter Chemotherapie oder Standardchemotherapie: Überlebenssignale in hochrisiko- und schlecht chemosensitiven Subgruppen. Phase-3-Studien SALVOVAR und Phase-1/2-Studie RegeNovar laufen prospektiv.</w:t>
      </w:r>
    </w:p>
    <w:p>
      <w:r>
        <w:rPr>
          <w:b/>
          <w:sz w:val="19"/>
        </w:rPr>
        <w:t xml:space="preserve">Übertragbarkeit: </w:t>
      </w:r>
      <w:r>
        <w:rPr>
          <w:sz w:val="19"/>
        </w:rPr>
        <w:t>Europäische Studienstandorte und ESMO-Guidelines, Therapiesequenzierung in deutschen Tumorzentren relevant</w:t>
      </w:r>
    </w:p>
    <w:p>
      <w:r>
        <w:rPr>
          <w:color w:val="5A7D3A"/>
          <w:sz w:val="18"/>
        </w:rPr>
        <w:t>https://pubmed.ncbi.nlm.nih.gov/42821287/</w:t>
      </w:r>
    </w:p>
    <w:p>
      <w:pPr>
        <w:pStyle w:val="Heading2"/>
      </w:pPr>
      <w:r>
        <w:t>Genomische Instabilität treibt gegensätzliche Immunantworten: Mechanismus für Immuntherapie-Resistenz</w:t>
      </w:r>
    </w:p>
    <w:p>
      <w:r>
        <w:rPr>
          <w:i/>
          <w:color w:val="666666"/>
          <w:sz w:val="18"/>
        </w:rPr>
        <w:t>Alouani E et al.  ·  Cancer Discov  ·  01.10.2026  ·  PMID 42817715</w:t>
      </w:r>
    </w:p>
    <w:p>
      <w:r>
        <w:t>Übersichtsarbeit zu zwei Formen genomischer Instabilität: Mutationsinstabilität versus Chromosomeninstabilität und deren gegensätzliche Effekte auf Tumor-Immunität.</w:t>
      </w:r>
    </w:p>
    <w:p>
      <w:r>
        <w:rPr>
          <w:b/>
        </w:rPr>
        <w:t xml:space="preserve">Ergebnis: </w:t>
      </w:r>
      <w:r>
        <w:t>Hypermutierte Tumoren generieren Neoantigene und sind sensibel für Checkpoint-Blockade. Chromosomeninstabilität triggert chronische angeborene Immunaktivierung mit Immunsuppression durch Myeloid- und T-Zell-Dysfunktion. Diese gegensätzlichen Mechanismen erfordern unterschiedliche Immuntherapie-Strategien.</w:t>
      </w:r>
    </w:p>
    <w:p>
      <w:r>
        <w:rPr>
          <w:b/>
          <w:sz w:val="19"/>
        </w:rPr>
        <w:t xml:space="preserve">Übertragbarkeit: </w:t>
      </w:r>
      <w:r>
        <w:rPr>
          <w:sz w:val="19"/>
        </w:rPr>
        <w:t>Grundlagenarbeit zur Immuntherapie-Resistenz, Basis für Stratifizierungsansätze in der Praxis</w:t>
      </w:r>
    </w:p>
    <w:p>
      <w:r>
        <w:rPr>
          <w:color w:val="5A7D3A"/>
          <w:sz w:val="18"/>
        </w:rPr>
        <w:t>https://pubmed.ncbi.nlm.nih.gov/42817715/</w:t>
      </w:r>
    </w:p>
    <w:p>
      <w:pPr>
        <w:pStyle w:val="Heading1"/>
      </w:pPr>
      <w:r>
        <w:t>Aufgenommen am 02.10.2026</w:t>
      </w:r>
    </w:p>
    <w:p>
      <w:pPr>
        <w:pStyle w:val="Heading2"/>
      </w:pPr>
      <w:r>
        <w:t>Stereotaktische MRT-gesteuerte adaptive Strahlentherapie verbessert Lokalkontrolle bei fortgeschrittenem Pankreaskarzinom</w:t>
      </w:r>
    </w:p>
    <w:p>
      <w:r>
        <w:rPr>
          <w:i/>
          <w:color w:val="666666"/>
          <w:sz w:val="18"/>
        </w:rPr>
        <w:t>Hartfelt PB et al.  ·  Radiother Oncol  ·  01.10.2026  ·  PMID 42822782</w:t>
      </w:r>
    </w:p>
    <w:p>
      <w:r>
        <w:t>Prospektive Studie zur MRT-gesteuerten adaptiven Strahlentherapie (SMART) bei 118 Patienten mit lokal fortgeschrittenem Pankreaskarzinom (50 Gy/5 Fraktionen).</w:t>
      </w:r>
    </w:p>
    <w:p>
      <w:r>
        <w:rPr>
          <w:b/>
        </w:rPr>
        <w:t xml:space="preserve">Ergebnis: </w:t>
      </w:r>
      <w:r>
        <w:t>Medianes Gesamtüberleben 13,2 Monate ab Therapiestart (95%-CI 10,4–15,9), 2-Jahres-Überleben 23,9%. Lokale Progression bei 15,0% nach 1 Jahr und 22,2% nach 2 Jahren. Akute Grad-≥III-Toxizität bei 5,4%, späte bei 3,2%. Fernprogression war dominantes Versagensmus ter.</w:t>
      </w:r>
    </w:p>
    <w:p>
      <w:r>
        <w:rPr>
          <w:b/>
          <w:sz w:val="19"/>
        </w:rPr>
        <w:t xml:space="preserve">Übertragbarkeit: </w:t>
      </w:r>
      <w:r>
        <w:rPr>
          <w:sz w:val="19"/>
        </w:rPr>
        <w:t>Dänemark (Odense), vergleichbares europäisches Gesundheitssystem, Technologie in deutschen Zentren verfügbar.</w:t>
      </w:r>
    </w:p>
    <w:p>
      <w:r>
        <w:rPr>
          <w:color w:val="5A7D3A"/>
          <w:sz w:val="18"/>
        </w:rPr>
        <w:t>https://pubmed.ncbi.nlm.nih.gov/42822782/</w:t>
      </w:r>
    </w:p>
    <w:p>
      <w:pPr>
        <w:pStyle w:val="Heading2"/>
      </w:pPr>
      <w:r>
        <w:t>Hohe SMAD4-Expression prognostiziert besseres Überleben nach Pankreaskarzinom-Resektion</w:t>
      </w:r>
    </w:p>
    <w:p>
      <w:r>
        <w:rPr>
          <w:i/>
          <w:color w:val="666666"/>
          <w:sz w:val="18"/>
        </w:rPr>
        <w:t>Williams TM et al.  ·  Int J Radiat Oncol Biol Phys  ·  01.10.2026  ·  PMID 42822544</w:t>
      </w:r>
    </w:p>
    <w:p>
      <w:r>
        <w:t>Biomarker-Analyse von 141 Tumorproben aus der Phase-III-Studie RTOG 9704 zur SMAD4-Expression und Überleben nach adjuvanter Chemoradiotherapie.</w:t>
      </w:r>
    </w:p>
    <w:p>
      <w:r>
        <w:rPr>
          <w:b/>
        </w:rPr>
        <w:t xml:space="preserve">Ergebnis: </w:t>
      </w:r>
      <w:r>
        <w:t>Hohe SMAD4-Expression assoziiert mit verbessertem rezidivfreiem Überleben (HR 0,68, 95%-CI 0,48–0,97, p=0,03) und Gesamtüberleben (HR 0,69, 95%-CI 0,48–0,99, p=0,04). Fernmetastasen-Risiko gesenkt (HR 0,69, p=0,048). Multivariable Analyse bestätigte unabhängige Assoziation für rezidivfreies Überleben (HR 0,66, p=0,03) und Fernmetastasen (HR 0,68, p=0,052).</w:t>
      </w:r>
    </w:p>
    <w:p>
      <w:r>
        <w:rPr>
          <w:b/>
          <w:sz w:val="19"/>
        </w:rPr>
        <w:t xml:space="preserve">Übertragbarkeit: </w:t>
      </w:r>
      <w:r>
        <w:rPr>
          <w:sz w:val="19"/>
        </w:rPr>
        <w:t>USA, Biomarker-Definition auf deutsche Pankreaskarzinom-Patienten übertragbar, Prognose-Stratifizierung möglich.</w:t>
      </w:r>
    </w:p>
    <w:p>
      <w:r>
        <w:rPr>
          <w:color w:val="5A7D3A"/>
          <w:sz w:val="18"/>
        </w:rPr>
        <w:t>https://pubmed.ncbi.nlm.nih.gov/42822544/</w:t>
      </w:r>
    </w:p>
    <w:p>
      <w:pPr>
        <w:pStyle w:val="Heading2"/>
      </w:pPr>
      <w:r>
        <w:t>Immuntherapie vor Lebertransplantation senkt Rezidivrisiko bei Hepatozellulärkarzinom</w:t>
      </w:r>
    </w:p>
    <w:p>
      <w:r>
        <w:rPr>
          <w:i/>
          <w:color w:val="666666"/>
          <w:sz w:val="18"/>
        </w:rPr>
        <w:t>Ong M et al.  ·  JAMA Oncol  ·  01.10.2026  ·  PMID 42821267</w:t>
      </w:r>
    </w:p>
    <w:p>
      <w:r>
        <w:t>Retrospektive Matched-Cohort-Studie mit 416 Patienten zur ICI-basierten Downstaging-Therapie vor Lebertransplantation bei initial über Milan-Kriterien liegendem Hepatozellulärkarzinom in acht hochvolumigen chinesischen Transplantationszentren.</w:t>
      </w:r>
    </w:p>
    <w:p>
      <w:r>
        <w:rPr>
          <w:b/>
        </w:rPr>
        <w:t xml:space="preserve">Ergebnis: </w:t>
      </w:r>
      <w:r>
        <w:t>Medianes Gesamtüberleben 4,57 Jahre (ICI-Gruppe, 95%-CI 4,34-n.e.) vs. 2,53 Jahre (Kontrollgruppe, p&lt;0,001). Medianes rezidivfreies Überleben 1,47 Jahre vs. 0,89 Jahre (p=0,02). Postoperatives Rezidivrisiko: HR 0,54 (95%-CI 0,40–0,72). Akute Abstoßung häufiger in ICI-Gruppe (16,3% vs. 8,2%, p=0,01).</w:t>
      </w:r>
    </w:p>
    <w:p>
      <w:r>
        <w:rPr>
          <w:b/>
          <w:sz w:val="19"/>
        </w:rPr>
        <w:t xml:space="preserve">Übertragbarkeit: </w:t>
      </w:r>
      <w:r>
        <w:rPr>
          <w:sz w:val="19"/>
        </w:rPr>
        <w:t>Studiendesign auf europäische Transplantationszentren übertragbar, aber China-spezifische Organverfügbarkeit und Immunsuppression – Sicherheit vor Wirksamkeit klären.</w:t>
      </w:r>
    </w:p>
    <w:p>
      <w:r>
        <w:rPr>
          <w:color w:val="5A7D3A"/>
          <w:sz w:val="18"/>
        </w:rPr>
        <w:t>https://pubmed.ncbi.nlm.nih.gov/42821267/</w:t>
      </w:r>
    </w:p>
    <w:p>
      <w:pPr>
        <w:pStyle w:val="Heading2"/>
      </w:pPr>
      <w:r>
        <w:t>Immuntherapie in der Pädiatrie reduziert Spätfolgen-Mortalität beim Hodgkin-Lymphom</w:t>
      </w:r>
    </w:p>
    <w:p>
      <w:r>
        <w:rPr>
          <w:i/>
          <w:color w:val="666666"/>
          <w:sz w:val="18"/>
        </w:rPr>
        <w:t>Rogers JR et al.  ·  J Natl Cancer Inst  ·  01.10.2026  ·  PMID 42820770</w:t>
      </w:r>
    </w:p>
    <w:p>
      <w:r>
        <w:t>Simulationsmodell zur Lebenszeitprognose von 118 Kindern und Adoleszenten mit fortgeschrittenem Hodgkin-Lymphom unter modernen Brentuximab-vedotin- oder Nivolumab-Regimen vs. historischen Chemotherapie-Schemata.</w:t>
      </w:r>
    </w:p>
    <w:p>
      <w:r>
        <w:rPr>
          <w:b/>
        </w:rPr>
        <w:t xml:space="preserve">Ergebnis: </w:t>
      </w:r>
      <w:r>
        <w:t>Überlebensrate im Alter von 50 Jahren: 86% nach historischen und 92–93% nach modernen Immuntherapie-basierten Regimen (vs. 100% in Allgemeinbevölkerung). Überlebensvorteil persistiert, solange immuntherapie-assoziierte Spätsterblichkeit unter ca. 8% bleibt. Modell suggeriert Reduktion der Spätfolge-Last trotz Überlebensvorteil.</w:t>
      </w:r>
    </w:p>
    <w:p>
      <w:r>
        <w:rPr>
          <w:b/>
          <w:sz w:val="19"/>
        </w:rPr>
        <w:t xml:space="preserve">Übertragbarkeit: </w:t>
      </w:r>
      <w:r>
        <w:rPr>
          <w:sz w:val="19"/>
        </w:rPr>
        <w:t>USA-basiert, aber Endpunkt (Langzeitüberleben, Spätfolgen) tumorentitäts- und systemunabhängig.</w:t>
      </w:r>
    </w:p>
    <w:p>
      <w:r>
        <w:rPr>
          <w:color w:val="5A7D3A"/>
          <w:sz w:val="18"/>
        </w:rPr>
        <w:t>https://pubmed.ncbi.nlm.nih.gov/42820770/</w:t>
      </w:r>
    </w:p>
    <w:p>
      <w:pPr>
        <w:pStyle w:val="Heading2"/>
      </w:pPr>
      <w:r>
        <w:t>Onkolytisches Adenovirus mit Hyaluronidase verbessert Überleben bei metastasiertem Pankreaskarzinom</w:t>
      </w:r>
    </w:p>
    <w:p>
      <w:r>
        <w:rPr>
          <w:i/>
          <w:color w:val="666666"/>
          <w:sz w:val="18"/>
        </w:rPr>
        <w:t>Garcia-Carbonero R et al.  ·  Nat Med  ·  30.09.2026  ·  PMID 42816596</w:t>
      </w:r>
    </w:p>
    <w:p>
      <w:r>
        <w:t>Randomisierte Phase-2b-Studie mit 101 Patienten (53 VCN-01+Gemcitabin/nab-Paclitaxel, 48 Chemotherapie allein) zur First-Line-Therapie des metastasierten Pankreaskarzinoms.</w:t>
      </w:r>
    </w:p>
    <w:p>
      <w:r>
        <w:rPr>
          <w:b/>
        </w:rPr>
        <w:t xml:space="preserve">Ergebnis: </w:t>
      </w:r>
      <w:r>
        <w:t>Medianes Gesamtüberleben in Full-Analysis-Set: 10,8 Monate (VCN-01-Gruppe) vs. 8,6 Monate (Kontrolle; HR 0,57, 95%-CI 0,34–0,96, p=0,055). Progressionsfreies Überleben 7,0 vs. 4,6 Monate (HR 0,55, p=0,011). 15-Monats-Überleben 35,5% vs. 12,8%, 18-Monats-Überleben 31,1% vs. 8,5%. Ansprechdauer 11,2 vs. 5,4 Monate (p=0,004).</w:t>
      </w:r>
    </w:p>
    <w:p>
      <w:r>
        <w:rPr>
          <w:b/>
          <w:sz w:val="19"/>
        </w:rPr>
        <w:t xml:space="preserve">Übertragbarkeit: </w:t>
      </w:r>
      <w:r>
        <w:rPr>
          <w:sz w:val="19"/>
        </w:rPr>
        <w:t>Spanien und USA, Zulassung in Phase-3 ausstehend – Transfer zu AMNOG-Bewertung notwendig.</w:t>
      </w:r>
    </w:p>
    <w:p>
      <w:r>
        <w:rPr>
          <w:color w:val="5A7D3A"/>
          <w:sz w:val="18"/>
        </w:rPr>
        <w:t>https://pubmed.ncbi.nlm.nih.gov/42816596/</w:t>
      </w:r>
    </w:p>
    <w:p>
      <w:pPr>
        <w:pStyle w:val="Heading2"/>
      </w:pPr>
      <w:r>
        <w:t>Liquid Biopsy und Tumorvolumen verbessern Überlebensprognose bei metastasierten Malignomen</w:t>
      </w:r>
    </w:p>
    <w:p>
      <w:r>
        <w:rPr>
          <w:i/>
          <w:color w:val="666666"/>
          <w:sz w:val="18"/>
        </w:rPr>
        <w:t>Choucair A et al.  ·  Eur J Cancer  ·  25.09.2026  ·  PMID 42815199</w:t>
      </w:r>
    </w:p>
    <w:p>
      <w:r>
        <w:t>Retrospektive Pankrebs-Kohortenstudie mit 719 Patienten (Training n=570, Validierung n=149) zur kombinierten Prognostik durch Tumorfrakt ion in Blutplasma, CT-Tumorvolumen und Body-Composition.</w:t>
      </w:r>
    </w:p>
    <w:p>
      <w:r>
        <w:rPr>
          <w:b/>
        </w:rPr>
        <w:t xml:space="preserve">Ergebnis: </w:t>
      </w:r>
      <w:r>
        <w:t>28,2% der Patienten zeigten Tumorfrakt ion=0% trotz messbaren Tumors (medianes Volumen 43,6 cm³). Kombiniertes Modell (Tumorfrakt ion + Volumen + klinische Variablen) erreichte C-Index 0,678, besser als Tumorfrakt ion allein (0,634, p=0,04) oder nur klinische Variablen (0,563, p=0,004). Risiko stratifizierung zeigte markant unterschiedliche Überlebensraten (8,3 vs. &gt;25 Monate, p&lt;0,001).</w:t>
      </w:r>
    </w:p>
    <w:p>
      <w:r>
        <w:rPr>
          <w:b/>
          <w:sz w:val="19"/>
        </w:rPr>
        <w:t xml:space="preserve">Übertragbarkeit: </w:t>
      </w:r>
      <w:r>
        <w:rPr>
          <w:sz w:val="19"/>
        </w:rPr>
        <w:t>Frankreich (Gustave Roussy), validiertes prospektives Design für deutsche Zentren nachbildbar.</w:t>
      </w:r>
    </w:p>
    <w:p>
      <w:r>
        <w:rPr>
          <w:color w:val="5A7D3A"/>
          <w:sz w:val="18"/>
        </w:rPr>
        <w:t>https://pubmed.ncbi.nlm.nih.gov/42815199/</w:t>
      </w:r>
    </w:p>
    <w:p>
      <w:pPr>
        <w:pStyle w:val="Heading1"/>
      </w:pPr>
      <w:r>
        <w:t>Aufgenommen am 01.10.2026</w:t>
      </w:r>
    </w:p>
    <w:p>
      <w:pPr>
        <w:pStyle w:val="Heading2"/>
      </w:pPr>
      <w:r>
        <w:t>Strahlentherapie mit Antikörper-Wirkstoff-Konjugaten bei Brustkrebs: Sicherheit belegt</w:t>
      </w:r>
    </w:p>
    <w:p>
      <w:r>
        <w:rPr>
          <w:i/>
          <w:color w:val="666666"/>
          <w:sz w:val="18"/>
        </w:rPr>
        <w:t>Visani L et al.  ·  Radiother Oncol  ·  30.09.2026  ·  PMID 42815776</w:t>
      </w:r>
    </w:p>
    <w:p>
      <w:r>
        <w:t>Systematische Übersicht mit Metaanalyse von 29 Studien (3.817 Patienten) zur Verträglichkeit kombinierter Radiotherapie und Antikörper-Wirkstoff-Konjugaten bei frühem und metastasiertem Brustkrebs.</w:t>
      </w:r>
    </w:p>
    <w:p>
      <w:r>
        <w:rPr>
          <w:b/>
        </w:rPr>
        <w:t xml:space="preserve">Ergebnis: </w:t>
      </w:r>
      <w:r>
        <w:t>Schwere Strahlengewebsnekrose trat in 5% der Fälle auf (95%-KI: 1–12%). Bei intracranialer Stereotaxie waren 8% der Ereignisse ≥Grad 3 (95%-KI: 3–15%), mit T-DM1 13% (95%-KI: 1–34%). Pneumonitis und Hautreaktionen ≥Grad 3 waren selten (je 0%). Außerhalb des Schädels ist die Therapiekombination sicher; intracraniell, besonders mit T-DM1, ist Vorsicht geboten.</w:t>
      </w:r>
    </w:p>
    <w:p>
      <w:r>
        <w:rPr>
          <w:b/>
          <w:sz w:val="19"/>
        </w:rPr>
        <w:t xml:space="preserve">Übertragbarkeit: </w:t>
      </w:r>
      <w:r>
        <w:rPr>
          <w:sz w:val="19"/>
        </w:rPr>
        <w:t>Europa, internationale Konsensusgruppe; übertragbar auf deutsche Zentren.</w:t>
      </w:r>
    </w:p>
    <w:p>
      <w:r>
        <w:rPr>
          <w:color w:val="5A7D3A"/>
          <w:sz w:val="18"/>
        </w:rPr>
        <w:t>https://pubmed.ncbi.nlm.nih.gov/42815776/</w:t>
      </w:r>
    </w:p>
    <w:p>
      <w:pPr>
        <w:pStyle w:val="Heading2"/>
      </w:pPr>
      <w:r>
        <w:t>Erdafitinib verlängert Überleben bei FGFR-verändertem Urothelkarzinom deutlich</w:t>
      </w:r>
    </w:p>
    <w:p>
      <w:r>
        <w:rPr>
          <w:i/>
          <w:color w:val="666666"/>
          <w:sz w:val="18"/>
        </w:rPr>
        <w:t>Loriot Y et al.  ·  ESMO Open  ·  30.09.2026  ·  PMID 42815410</w:t>
      </w:r>
    </w:p>
    <w:p>
      <w:r>
        <w:t>Phase-III-Studie THOR mit 278 Patienten mit FGFR3/2-alteriertem metastasiertem Urothelkarzinom nach PD-(L)1-Progression: Erdafitinib gegen Chemotherapie (Docetaxel/Vinflunin).</w:t>
      </w:r>
    </w:p>
    <w:p>
      <w:r>
        <w:rPr>
          <w:b/>
        </w:rPr>
        <w:t xml:space="preserve">Ergebnis: </w:t>
      </w:r>
      <w:r>
        <w:t>Medianes Gesamtüberleben: 12,1 vs. 8,7 Monate (HR 0,65; 95%-KI 0,48–0,86; p=0,0031). Progressionsfreies Überleben: 5,4 vs. 2,7 Monate (HR 0,59; p&lt;0,0001). Ansprechrate: 46,9% vs. 12,6% (RR 3,74). Schwere Nebenwirkungen 67,6% vs. 65,8%; therapieassoziierte Todesfälle 0,7% vs. 6,0%.</w:t>
      </w:r>
    </w:p>
    <w:p>
      <w:r>
        <w:rPr>
          <w:b/>
          <w:sz w:val="19"/>
        </w:rPr>
        <w:t xml:space="preserve">Übertragbarkeit: </w:t>
      </w:r>
      <w:r>
        <w:rPr>
          <w:sz w:val="19"/>
        </w:rPr>
        <w:t>Internationale Studie; Zulassung relevant für Deutschland.</w:t>
      </w:r>
    </w:p>
    <w:p>
      <w:r>
        <w:rPr>
          <w:color w:val="5A7D3A"/>
          <w:sz w:val="18"/>
        </w:rPr>
        <w:t>https://pubmed.ncbi.nlm.nih.gov/42815410/</w:t>
      </w:r>
    </w:p>
    <w:p>
      <w:pPr>
        <w:pStyle w:val="Heading2"/>
      </w:pPr>
      <w:r>
        <w:t>Verzögerte Übelkeit unter moderater Chemoemesis-Gefährdung: Untererfassung über 120 Stunden hinaus</w:t>
      </w:r>
    </w:p>
    <w:p>
      <w:r>
        <w:rPr>
          <w:i/>
          <w:color w:val="666666"/>
          <w:sz w:val="18"/>
        </w:rPr>
        <w:t>Iimura Y et al.  ·  ESMO Open  ·  30.09.2026  ·  PMID 42815409</w:t>
      </w:r>
    </w:p>
    <w:p>
      <w:r>
        <w:t>Scoping Review systematischer Erfassung verzögerter chemotherapieassoziierter Übelkeit/Erbrechen (&gt;120 h) in 26 prospektiven Antiemetika-Studien (15 Phase III, 11 Phase II).</w:t>
      </w:r>
    </w:p>
    <w:p>
      <w:r>
        <w:rPr>
          <w:b/>
        </w:rPr>
        <w:t xml:space="preserve">Ergebnis: </w:t>
      </w:r>
      <w:r>
        <w:t>80,8% der Studien beschränkten Erfassung auf konventionelle 24–120 h. Komplette Remissionsquoten fielen von 71% in der Standardphase auf 62% in der Langzeitphase (&gt;120 h). Neurokinin-1-Antagonisten und ältere Patienten zeigten bessere Raten, höherer Frauenanteil schlechtere. Verlängerung der Erfassung wird empfohlen.</w:t>
      </w:r>
    </w:p>
    <w:p>
      <w:r>
        <w:rPr>
          <w:b/>
          <w:sz w:val="19"/>
        </w:rPr>
        <w:t xml:space="preserve">Übertragbarkeit: </w:t>
      </w:r>
      <w:r>
        <w:rPr>
          <w:sz w:val="19"/>
        </w:rPr>
        <w:t>Multizentrisch mit deutschen Autoren; Versorgungsforschungsfrage.</w:t>
      </w:r>
    </w:p>
    <w:p>
      <w:r>
        <w:rPr>
          <w:color w:val="5A7D3A"/>
          <w:sz w:val="18"/>
        </w:rPr>
        <w:t>https://pubmed.ncbi.nlm.nih.gov/42815409/</w:t>
      </w:r>
    </w:p>
    <w:p>
      <w:pPr>
        <w:pStyle w:val="Heading2"/>
      </w:pPr>
      <w:r>
        <w:t>Abemaciclib plus endokrine Therapie bei HR-positivem Brustkrebs: Nutzen über Lymphknoten-Subgruppen konsistent</w:t>
      </w:r>
    </w:p>
    <w:p>
      <w:r>
        <w:rPr>
          <w:i/>
          <w:color w:val="666666"/>
          <w:sz w:val="18"/>
        </w:rPr>
        <w:t>Cortes J et al.  ·  ESMO Open  ·  30.09.2026  ·  PMID 42815408</w:t>
      </w:r>
    </w:p>
    <w:p>
      <w:r>
        <w:t>Nachfolgeanalyse monarchE-Studie, Kohort 1 (91% der Gesamtpopulation): Abemaciclib + endokrine Therapie über 2 Jahre bei knoten-positiven Hochrisiko-Patienten mit HR-positivem, HER2-negativem frühem Brustkrebs nach medianer Nachbeobachtung 76,8 Monate.</w:t>
      </w:r>
    </w:p>
    <w:p>
      <w:r>
        <w:rPr>
          <w:b/>
        </w:rPr>
        <w:t xml:space="preserve">Ergebnis: </w:t>
      </w:r>
      <w:r>
        <w:t>Konsistent anhaltender Rückgang des Rezidivrisikos (invasives krankheitsfreies Überleben) und fernmetastasenfreies Überleben über alle Lymphknoten-Subgruppen (N1-Hochrisiko, N2, N3). Ähnliches Rezidivrisiko zwischen N1-Hochrisiko (68,6% Grad 3) und N2; Nutzen in allen Subgruppen bestätigt.</w:t>
      </w:r>
    </w:p>
    <w:p>
      <w:r>
        <w:rPr>
          <w:b/>
          <w:sz w:val="19"/>
        </w:rPr>
        <w:t xml:space="preserve">Übertragbarkeit: </w:t>
      </w:r>
      <w:r>
        <w:rPr>
          <w:sz w:val="19"/>
        </w:rPr>
        <w:t>Zulassungsrelevante Phase-III-Studie; Zentrenstandard.</w:t>
      </w:r>
    </w:p>
    <w:p>
      <w:r>
        <w:rPr>
          <w:color w:val="5A7D3A"/>
          <w:sz w:val="18"/>
        </w:rPr>
        <w:t>https://pubmed.ncbi.nlm.nih.gov/42815408/</w:t>
      </w:r>
    </w:p>
    <w:p>
      <w:pPr>
        <w:pStyle w:val="Heading2"/>
      </w:pPr>
      <w:r>
        <w:t>Giredestrant + Everolimus verdoppelt progressionsfreies Überleben bei HR+/HER2- metastasiertem Brustkrebs</w:t>
      </w:r>
    </w:p>
    <w:p>
      <w:r>
        <w:rPr>
          <w:i/>
          <w:color w:val="666666"/>
          <w:sz w:val="18"/>
        </w:rPr>
        <w:t>Mayer EL et al.  ·  N Engl J Med  ·  01.10.2026  ·  PMID 42814929</w:t>
      </w:r>
    </w:p>
    <w:p>
      <w:r>
        <w:t>Phase-III-Studie evERA mit 373 Patienten HR-positiv/HER2-negativ fortgeschrittenem Brustkrebs nach CDK4/6-Inhibitor-Versagen: Giredestrant + Everolimus vs. Standard endokrine Therapie + Everolimus.</w:t>
      </w:r>
    </w:p>
    <w:p>
      <w:r>
        <w:rPr>
          <w:b/>
        </w:rPr>
        <w:t xml:space="preserve">Ergebnis: </w:t>
      </w:r>
      <w:r>
        <w:t>Medianes progressionsfreies Überleben gesamt: 8,8 vs. 5,5 Monate (HR 0,56; 95%-KI 0,44–0,71; p&lt;0,001). Bei ESR1-mutiert (n=207): 10,0 vs. 5,5 Monate (HR 0,38; 95%-KI 0,27–0,54). Nebenwirkungsraten ähnlich: Stomatitis 47,3% vs. 48,9%, Diarrhö 26,9% vs. 22,6%, Anämie 23,6% vs. 21,0%.</w:t>
      </w:r>
    </w:p>
    <w:p>
      <w:r>
        <w:rPr>
          <w:b/>
          <w:sz w:val="19"/>
        </w:rPr>
        <w:t xml:space="preserve">Übertragbarkeit: </w:t>
      </w:r>
      <w:r>
        <w:rPr>
          <w:sz w:val="19"/>
        </w:rPr>
        <w:t>Zulassungsrelevant; breites europäisches Netzwerk.</w:t>
      </w:r>
    </w:p>
    <w:p>
      <w:r>
        <w:rPr>
          <w:color w:val="5A7D3A"/>
          <w:sz w:val="18"/>
        </w:rPr>
        <w:t>https://pubmed.ncbi.nlm.nih.gov/42814929/</w:t>
      </w:r>
    </w:p>
    <w:p>
      <w:pPr>
        <w:pStyle w:val="Heading2"/>
      </w:pPr>
      <w:r>
        <w:t>Tumor-Adipozyten-Kontakt prognostiziert schlechteres Überleben beim Pankreaskarzinom unabhängig</w:t>
      </w:r>
    </w:p>
    <w:p>
      <w:r>
        <w:rPr>
          <w:i/>
          <w:color w:val="666666"/>
          <w:sz w:val="18"/>
        </w:rPr>
        <w:t>Günther M et al.  ·  Eur J Cancer  ·  16.10.2026  ·  PMID 42777382</w:t>
      </w:r>
    </w:p>
    <w:p>
      <w:r>
        <w:t>Internationale Multicenter-Studie (941 resezierte PDAC aus 5 Kohorten: München n=400, Bern n=215, Graz n=111, Erlangen n=101, TCGA n=114): Direkte Tumor-Adipozyten-Kontaktflächen (TAC/SARIFA) auf H&amp;E-Schnitten als prognostisches Merkmal.</w:t>
      </w:r>
    </w:p>
    <w:p>
      <w:r>
        <w:rPr>
          <w:b/>
        </w:rPr>
        <w:t xml:space="preserve">Ergebnis: </w:t>
      </w:r>
      <w:r>
        <w:t>TAC/SARIFA in 53% positiv, Cohen's Kappa 0,71 (Interobserver-Agreement). TAC+ assoziiert mit höherem N-Stadium, höherem Grad, älteren Patienten (alle p&lt;0,01). Medianes Gesamtüberleben 14,1 vs. 28,0 Monate (p&lt;0,001); unabhängiger Prognosefaktor (gepoolte HR 1,84; 95%-KI 1,59–2,14; p&lt;0,001). Geschlechtsspezifischer Effekt: HR 2,46 bei Männern vs. 1,50 bei Frauen.</w:t>
      </w:r>
    </w:p>
    <w:p>
      <w:r>
        <w:rPr>
          <w:b/>
          <w:sz w:val="19"/>
        </w:rPr>
        <w:t xml:space="preserve">Übertragbarkeit: </w:t>
      </w:r>
      <w:r>
        <w:rPr>
          <w:sz w:val="19"/>
        </w:rPr>
        <w:t>Deutschsprachige Klinikdaten, vergleichbare Dokumentation; Routine-H&amp;E-Slides.</w:t>
      </w:r>
    </w:p>
    <w:p>
      <w:r>
        <w:rPr>
          <w:color w:val="5A7D3A"/>
          <w:sz w:val="18"/>
        </w:rPr>
        <w:t>https://pubmed.ncbi.nlm.nih.gov/42777382/</w:t>
      </w:r>
    </w:p>
    <w:p>
      <w:pPr>
        <w:pStyle w:val="Heading2"/>
      </w:pPr>
      <w:r>
        <w:t>Futibatinib nach nicht-kovalenten FGFR-Inhibitoren bei FGFR2-verändertem Gallengangskarzinom wirksam</w:t>
      </w:r>
    </w:p>
    <w:p>
      <w:r>
        <w:rPr>
          <w:i/>
          <w:color w:val="666666"/>
          <w:sz w:val="18"/>
        </w:rPr>
        <w:t>Casalino S et al.  ·  Eur J Cancer  ·  16.10.2026  ·  PMID 42731348</w:t>
      </w:r>
    </w:p>
    <w:p>
      <w:r>
        <w:t>Retrospektive europäische Multicenter-Studie (3 Zentren) an 16 Patienten mit FGFR2-rearrangiertem intrahepatischem Cholangiokarziom: Futibatinib nach Progression unter nicht-kovalenten FGFR-Inhibitoren.</w:t>
      </w:r>
    </w:p>
    <w:p>
      <w:r>
        <w:rPr>
          <w:b/>
        </w:rPr>
        <w:t xml:space="preserve">Ergebnis: </w:t>
      </w:r>
      <w:r>
        <w:t>Medianes PFS unter nicht-kovalenten Inhibitoren: 10,2 Monate (95%-KI 7,0–15,5), Ansprechrate 60,0%. Mit Futibatinib (Viertlinien-Median): ORR 31,3%, Kontrolle 50,0%, medianes PFS 4,5 Monate (95%-KI 2,0–9,1), medianes OS 9,9 Monate (95%-KI 5,7–nicht erreicht). FGFR2-Resistenzmutationen in 100% (n=11), polyklonal 45,5%. Effizienz unabhängig von Anzahl Resistenzmutationen.</w:t>
      </w:r>
    </w:p>
    <w:p>
      <w:r>
        <w:rPr>
          <w:b/>
          <w:sz w:val="19"/>
        </w:rPr>
        <w:t xml:space="preserve">Übertragbarkeit: </w:t>
      </w:r>
      <w:r>
        <w:rPr>
          <w:sz w:val="19"/>
        </w:rPr>
        <w:t>Deutschland und italienische/britische Zentren; Mechanismus-Beweis für kovalente Nachfolgetherapie.</w:t>
      </w:r>
    </w:p>
    <w:p>
      <w:r>
        <w:rPr>
          <w:color w:val="5A7D3A"/>
          <w:sz w:val="18"/>
        </w:rPr>
        <w:t>https://pubmed.ncbi.nlm.nih.gov/42731348/</w:t>
      </w:r>
    </w:p>
    <w:p>
      <w:pPr>
        <w:pStyle w:val="Heading1"/>
      </w:pPr>
      <w:r>
        <w:t>Aufgenommen am 30.09.2026</w:t>
      </w:r>
    </w:p>
    <w:p>
      <w:pPr>
        <w:pStyle w:val="Heading2"/>
      </w:pPr>
      <w:r>
        <w:t>Bewegungsintervention verbessert Aufmerksamkeit bei Brustkrebsüberlebenden.</w:t>
      </w:r>
    </w:p>
    <w:p>
      <w:r>
        <w:rPr>
          <w:i/>
          <w:color w:val="666666"/>
          <w:sz w:val="18"/>
        </w:rPr>
        <w:t>Hartman SJ et al.  ·  J Natl Cancer Inst  ·  30.09.2026  ·  PMID 42810736</w:t>
      </w:r>
    </w:p>
    <w:p>
      <w:r>
        <w:t>Randomisierte kontrollierte Studie mit 253 Brustkrebsüberlebenden: 12 Monate ferngesteuerte Bewegungsintervention vs. Kontakt-gematchte Health-&amp;-Wellness-Kontrolle auf Kognition und körperliche Aktivität.</w:t>
      </w:r>
    </w:p>
    <w:p>
      <w:r>
        <w:rPr>
          <w:b/>
        </w:rPr>
        <w:t xml:space="preserve">Ergebnis: </w:t>
      </w:r>
      <w:r>
        <w:t>Bewegungsarm zeigte größere Zunahme an moderater bis intensiver Aktivität (18 auf 23,5 Min./Tag vs. 15 auf 15,5 Min.). Kein signifikanter Unterschied in primären Outcomes (Selbstbericht Kognition, Processing Speed, 6 und 12 Monate, p &gt; 0,05). Sekundäre Outcomes: Bewegungsarm bessere Aufmerksamkeit (6 Mo.: b = 0,14, p = 0,03; 12 Mo.: b = 0,21, p = 0,002) und kurzfristig besseres Gedächtnis (6 Mo.: b = 0,18, p &lt; 0,01).</w:t>
      </w:r>
    </w:p>
    <w:p>
      <w:r>
        <w:rPr>
          <w:b/>
          <w:sz w:val="19"/>
        </w:rPr>
        <w:t xml:space="preserve">Übertragbarkeit: </w:t>
      </w:r>
      <w:r>
        <w:rPr>
          <w:sz w:val="19"/>
        </w:rPr>
        <w:t>USA-amerikanisches Forschungssetting, aber patientenrelevanter Endpunkt und gut skalierbare Fernintervention.</w:t>
      </w:r>
    </w:p>
    <w:p>
      <w:r>
        <w:rPr>
          <w:color w:val="5A7D3A"/>
          <w:sz w:val="18"/>
        </w:rPr>
        <w:t>https://pubmed.ncbi.nlm.nih.gov/42810736/</w:t>
      </w:r>
    </w:p>
    <w:p>
      <w:pPr>
        <w:pStyle w:val="Heading2"/>
      </w:pPr>
      <w:r>
        <w:t>Bewegung verlangsamt epigenetisches Altern bei Brustkrebsüberlebenden.</w:t>
      </w:r>
    </w:p>
    <w:p>
      <w:r>
        <w:rPr>
          <w:i/>
          <w:color w:val="666666"/>
          <w:sz w:val="18"/>
        </w:rPr>
        <w:t>Carlin D et al.  ·  J Natl Cancer Inst  ·  30.09.2026  ·  PMID 42810733</w:t>
      </w:r>
    </w:p>
    <w:p>
      <w:r>
        <w:t>Sekundäranalyse einer RCT mit 124 Brustkrebsüberlebenden: Auswirkung einer 12-Monate-Bewegungsintervention auf DNA-Methylierungsmuster (epigenetische Uhren).</w:t>
      </w:r>
    </w:p>
    <w:p>
      <w:r>
        <w:rPr>
          <w:b/>
        </w:rPr>
        <w:t xml:space="preserve">Ergebnis: </w:t>
      </w:r>
      <w:r>
        <w:t>Bewegungsarm zeigte verlangsamtes epigenetisches Altern nach GrimAge2 (p = 0,02) und DNAmFitAge (p = 0,002) vs. Kontrolle über 12 Monate. Schnelleres epigenetisches Altern mit größerem kognitiven Abbau assoziiert. Genomweite Analyse: differenziell methylierte Stellen mit Anreicherung in BDNF-Signalwegen. Epigenetisches Altern als modifizierbar durch Bewegung und möglicherweise mechanistisches Bindeglied zu kognitiven Effekten.</w:t>
      </w:r>
    </w:p>
    <w:p>
      <w:r>
        <w:rPr>
          <w:b/>
          <w:sz w:val="19"/>
        </w:rPr>
        <w:t xml:space="preserve">Übertragbarkeit: </w:t>
      </w:r>
      <w:r>
        <w:rPr>
          <w:sz w:val="19"/>
        </w:rPr>
        <w:t>USA-Studie, aber biologischer Mechanismus und patientenrelevantes Outcome übertragbar.</w:t>
      </w:r>
    </w:p>
    <w:p>
      <w:r>
        <w:rPr>
          <w:color w:val="5A7D3A"/>
          <w:sz w:val="18"/>
        </w:rPr>
        <w:t>https://pubmed.ncbi.nlm.nih.gov/42810733/</w:t>
      </w:r>
    </w:p>
    <w:p>
      <w:pPr>
        <w:pStyle w:val="Heading2"/>
      </w:pPr>
      <w:r>
        <w:t>Pembrolizumab-Monotherapie beim Nierenzellkarzinom: Biomarker und Langzeitergebnisse.</w:t>
      </w:r>
    </w:p>
    <w:p>
      <w:r>
        <w:rPr>
          <w:i/>
          <w:color w:val="666666"/>
          <w:sz w:val="18"/>
        </w:rPr>
        <w:t>McDermott DF et al.  ·  Ann Oncol  ·  29.09.2026  ·  PMID 42810586</w:t>
      </w:r>
    </w:p>
    <w:p>
      <w:r>
        <w:t>Phase-II-Studie KEYNOTE-427 nach Median 61 Monaten Follow-up: Objektives Ansprechen und Prognosefaktoren für Pembrolizumab ohne Kombinationstherapie bei klarzelliger und nicht-klarzelliger RCC.</w:t>
      </w:r>
    </w:p>
    <w:p>
      <w:r>
        <w:rPr>
          <w:b/>
        </w:rPr>
        <w:t xml:space="preserve">Ergebnis: </w:t>
      </w:r>
      <w:r>
        <w:t>Objektive Ansprechrate 36,4 % (klarzelliges RCC) und 26,7 % (nicht-klarzelliges RCC). T-Zell-entzündliches Genexpressionsprofil (TcellinfGEP) assoziiert mit höherem Ansprechen (p = 0,0208 bzw. p = 0,0021). PD-L1 CPS kontinuierlich mit Gesamtüberleben korreliert (nicht-klarzelliges RCC: p = 0,0014). Patienten mit nachweisbarer ctDNA am Baseline hatten kürzeres OS (30,5 vs. 53,7 Monate). Treibermutationen zeigten keine konsistenten Muster.</w:t>
      </w:r>
    </w:p>
    <w:p>
      <w:r>
        <w:rPr>
          <w:b/>
          <w:sz w:val="19"/>
        </w:rPr>
        <w:t xml:space="preserve">Übertragbarkeit: </w:t>
      </w:r>
      <w:r>
        <w:rPr>
          <w:sz w:val="19"/>
        </w:rPr>
        <w:t>Nordamerikanische Kohorte, internationale Zentren, Biomarker-Erkenntnisse für Präzisionstherapie übertragbar.</w:t>
      </w:r>
    </w:p>
    <w:p>
      <w:r>
        <w:rPr>
          <w:color w:val="5A7D3A"/>
          <w:sz w:val="18"/>
        </w:rPr>
        <w:t>https://pubmed.ncbi.nlm.nih.gov/42810586/</w:t>
      </w:r>
    </w:p>
    <w:p>
      <w:pPr>
        <w:pStyle w:val="Heading2"/>
      </w:pPr>
      <w:r>
        <w:t>Lebensqualität in Adjuvansstudien: Neue Standards zur Berichterstattung.</w:t>
      </w:r>
    </w:p>
    <w:p>
      <w:r>
        <w:rPr>
          <w:i/>
          <w:color w:val="666666"/>
          <w:sz w:val="18"/>
        </w:rPr>
        <w:t>Tannock IF et al.  ·  Lancet Oncol  ·  29.09.2026  ·  PMID 42810369</w:t>
      </w:r>
    </w:p>
    <w:p>
      <w:r>
        <w:t>Konsensempfehlungen europäischer und kanadischer Leitlinienautoren zur Erfassung und Darstellung der gesundheitsbezogenen Lebensqualität in Publikationen von Zulassungsstudien der adjuvanten Systemtherapie.</w:t>
      </w:r>
    </w:p>
    <w:p>
      <w:r>
        <w:rPr>
          <w:b/>
        </w:rPr>
        <w:t xml:space="preserve">Ergebnis: </w:t>
      </w:r>
      <w:r>
        <w:t>Die Studienautoren empfehlen, den Anteil der Patienten mit vordefinierter Verschlechterung in validierten Lebensqualitätsskalen sowie die Dauer dieser Beeinträchtigung während und nach Therapie zu dokumentieren. Symptome, Funktionsfähigkeit und Gesamtlebensqualität sollen differenzieren zwischen Patienten mit und ohne klinisch bedeutsame Toxizität. Diese Angaben sind im Primärbericht essentiell für informed treatment decisions.</w:t>
      </w:r>
    </w:p>
    <w:p>
      <w:r>
        <w:rPr>
          <w:b/>
          <w:sz w:val="19"/>
        </w:rPr>
        <w:t xml:space="preserve">Übertragbarkeit: </w:t>
      </w:r>
      <w:r>
        <w:rPr>
          <w:sz w:val="19"/>
        </w:rPr>
        <w:t>Europäische Autorenschaft, Standard für randomisierte Therapiestudien, übertragbar auf deutsches Zulassungswesen.</w:t>
      </w:r>
    </w:p>
    <w:p>
      <w:r>
        <w:rPr>
          <w:color w:val="5A7D3A"/>
          <w:sz w:val="18"/>
        </w:rPr>
        <w:t>https://pubmed.ncbi.nlm.nih.gov/42810369/</w:t>
      </w:r>
    </w:p>
    <w:p>
      <w:pPr>
        <w:pStyle w:val="Heading2"/>
      </w:pPr>
      <w:r>
        <w:t>Pembrolizumab-Lenvatinib bei metastasiertem Endometriumkarzinom: Real-World-Wirksamkeit.</w:t>
      </w:r>
    </w:p>
    <w:p>
      <w:r>
        <w:rPr>
          <w:i/>
          <w:color w:val="666666"/>
          <w:sz w:val="18"/>
        </w:rPr>
        <w:t>Bello Roufai D et al.  ·  ESMO Open  ·  29.09.2026  ·  PMID 42810020</w:t>
      </w:r>
    </w:p>
    <w:p>
      <w:r>
        <w:t>Französisches Programm für frühzeitigen Zugang: Wirksamkeit und Sicherheit von Pembrolizumab-Lenvatinib bei 351 Patienten mit metastasiertem Endometriumkarzinom in 25 Zentren, einschließlich älterer und fragiler Patienten.</w:t>
      </w:r>
    </w:p>
    <w:p>
      <w:r>
        <w:rPr>
          <w:b/>
        </w:rPr>
        <w:t xml:space="preserve">Ergebnis: </w:t>
      </w:r>
      <w:r>
        <w:t>Medianes Progressions-freies Überleben 6,0 Monate, medianes Gesamtüberleben 21 Monate. Objektive Ansprechrate 41 %, klinischer Benefit 68 %. Mismatch-Repair-Defizienz mit verlängertem PFS assoziiert (16 vs. 6 Monate, p &lt; 0,001). 27,6 % permanentes Absetzen von Lenvatinib wegen Toxizität; reduzierte Startdosen (37,2 %) beeinträchtigten PFS nicht. Wirksam auch in realen Populationen jenseits von Studienbedingungen.</w:t>
      </w:r>
    </w:p>
    <w:p>
      <w:r>
        <w:rPr>
          <w:b/>
          <w:sz w:val="19"/>
        </w:rPr>
        <w:t xml:space="preserve">Übertragbarkeit: </w:t>
      </w:r>
      <w:r>
        <w:rPr>
          <w:sz w:val="19"/>
        </w:rPr>
        <w:t>Französisches Versicherungssystem, Zentrumserfahrung, klinische Kohorten ähnlich deutschem Patientengut.</w:t>
      </w:r>
    </w:p>
    <w:p>
      <w:r>
        <w:rPr>
          <w:color w:val="5A7D3A"/>
          <w:sz w:val="18"/>
        </w:rPr>
        <w:t>https://pubmed.ncbi.nlm.nih.gov/42810020/</w:t>
      </w:r>
    </w:p>
    <w:p>
      <w:pPr>
        <w:pStyle w:val="Heading2"/>
      </w:pPr>
      <w:r>
        <w:t>Entscheidungshilfe für Palliativbehandlung beim Pankreaskarzinom: Real-World-Implementierung.</w:t>
      </w:r>
    </w:p>
    <w:p>
      <w:r>
        <w:rPr>
          <w:i/>
          <w:color w:val="666666"/>
          <w:sz w:val="18"/>
        </w:rPr>
        <w:t>Graus MUJE et al.  ·  Oncologist  ·  29.09.2026  ·  PMID 42809229</w:t>
      </w:r>
    </w:p>
    <w:p>
      <w:r>
        <w:t>Prospektive Multizenter-Studie an 10 niederländischen Expertenzentren: Einsatz einer Shared-Decision-Making-Hilfe bei 181 Patienten mit metastasiertem Pankreaskarzinom zur Unterstützung von Therapieentscheidungen.</w:t>
      </w:r>
    </w:p>
    <w:p>
      <w:r>
        <w:rPr>
          <w:b/>
        </w:rPr>
        <w:t xml:space="preserve">Ergebnis: </w:t>
      </w:r>
      <w:r>
        <w:t>Patienten mit ausreichend Bedenkzeit verwendeten die Entscheidungshilfe häufiger (p &lt; 0,01). Mediane Bewertung durch Patienten und Kliniker: 8/10. Diskordanz zwischen Arzt- und Patientenpreferenzen in 37 % beobachtet; Unterschiede zur finalen Therapieentscheidung häufig. Struktur-unterstützte SDM-Hilfe wird hochwertig akzeptiert und kann erfolgreich implementiert werden.</w:t>
      </w:r>
    </w:p>
    <w:p>
      <w:r>
        <w:rPr>
          <w:b/>
          <w:sz w:val="19"/>
        </w:rPr>
        <w:t xml:space="preserve">Übertragbarkeit: </w:t>
      </w:r>
      <w:r>
        <w:rPr>
          <w:sz w:val="19"/>
        </w:rPr>
        <w:t>Niederländisches System, vergleichbar mit deutschem Gesundheitswesen, SDM-Verfahren direkt übertragbar.</w:t>
      </w:r>
    </w:p>
    <w:p>
      <w:r>
        <w:rPr>
          <w:color w:val="5A7D3A"/>
          <w:sz w:val="18"/>
        </w:rPr>
        <w:t>https://pubmed.ncbi.nlm.nih.gov/42809229/</w:t>
      </w:r>
    </w:p>
    <w:p>
      <w:pPr>
        <w:pStyle w:val="Heading1"/>
      </w:pPr>
      <w:r>
        <w:t>Aufgenommen am 29.09.2026</w:t>
      </w:r>
    </w:p>
    <w:p>
      <w:pPr>
        <w:pStyle w:val="Heading2"/>
      </w:pPr>
      <w:r>
        <w:t>Hypofractionierte Postmastektomie-Radiotherapie ohne Anstieg schwerer Toxizitäten</w:t>
      </w:r>
    </w:p>
    <w:p>
      <w:r>
        <w:rPr>
          <w:i/>
          <w:color w:val="666666"/>
          <w:sz w:val="18"/>
        </w:rPr>
        <w:t>Sun GY et al.  ·  Lancet Oncol  ·  Okt. 2026  ·  PMID 42805199</w:t>
      </w:r>
    </w:p>
    <w:p>
      <w:r>
        <w:t>Randomisierte Phase-3-Studie mit 10-Jahres-Nachbeobachtung von 820 Patientinnen mit hochrisiko-Brustkrebs nach Mastektomie.</w:t>
      </w:r>
    </w:p>
    <w:p>
      <w:r>
        <w:rPr>
          <w:b/>
        </w:rPr>
        <w:t xml:space="preserve">Ergebnis: </w:t>
      </w:r>
      <w:r>
        <w:t>Lokoregionales Rezidiv nach 10 Jahren: 10,3 % (konventionell) vs. 12,0 % (hypofraktioniert; Hazard Ratio 1,19; 95%-KI 0,79–1,82). Grade-3-Toxizitäten waren selten und ähnlich in beiden Gruppen (je &lt;1–2 %). Hypofraktionierung ist zeiteffizient und gleichwertig sicher.</w:t>
      </w:r>
    </w:p>
    <w:p>
      <w:r>
        <w:rPr>
          <w:b/>
          <w:sz w:val="19"/>
        </w:rPr>
        <w:t xml:space="preserve">Übertragbarkeit: </w:t>
      </w:r>
      <w:r>
        <w:rPr>
          <w:sz w:val="19"/>
        </w:rPr>
        <w:t>China, vergleichbare onkologische Versorgung; Ergebnis sollte Leitlinien beeinflussen.</w:t>
      </w:r>
    </w:p>
    <w:p>
      <w:r>
        <w:rPr>
          <w:color w:val="5A7D3A"/>
          <w:sz w:val="18"/>
        </w:rPr>
        <w:t>https://pubmed.ncbi.nlm.nih.gov/42805199/</w:t>
      </w:r>
    </w:p>
    <w:p>
      <w:pPr>
        <w:pStyle w:val="Heading2"/>
      </w:pPr>
      <w:r>
        <w:t>2,3 Millionen Krebsfälle weltweit durch Infektionen: Prävention möglich</w:t>
      </w:r>
    </w:p>
    <w:p>
      <w:r>
        <w:rPr>
          <w:i/>
          <w:color w:val="666666"/>
          <w:sz w:val="18"/>
        </w:rPr>
        <w:t>Rumgay H et al.  ·  Lancet Oncol  ·  Okt. 2026  ·  PMID 42805198</w:t>
      </w:r>
    </w:p>
    <w:p>
      <w:r>
        <w:t>Analyse der Global Cancer Observatory 2024 zu Krebslast durch 12 klassifizierten Karzinogene (H. pylori, HPV, HBV, HCV, EBV u. a.).</w:t>
      </w:r>
    </w:p>
    <w:p>
      <w:r>
        <w:rPr>
          <w:b/>
        </w:rPr>
        <w:t xml:space="preserve">Ergebnis: </w:t>
      </w:r>
      <w:r>
        <w:t>12 % aller Krebsinzidenz 2024 (2,3 Mio. Fälle) attributabel: H. pylori 760.000 (4 %), HPV 750.000 (4 %), HBV 360.000 (2 %). Höchste Lasten in Ostasien (990.000 Fälle; 31,9/100.000), Sub-Sahara-Afrika (28,5/100.000). Prävention durch Impfung, Test-and-Treat möglich.</w:t>
      </w:r>
    </w:p>
    <w:p>
      <w:r>
        <w:rPr>
          <w:b/>
          <w:sz w:val="19"/>
        </w:rPr>
        <w:t xml:space="preserve">Übertragbarkeit: </w:t>
      </w:r>
      <w:r>
        <w:rPr>
          <w:sz w:val="19"/>
        </w:rPr>
        <w:t>Global applikabel, auch für Deutschland bei Präventionsplanung relevant.</w:t>
      </w:r>
    </w:p>
    <w:p>
      <w:r>
        <w:rPr>
          <w:color w:val="5A7D3A"/>
          <w:sz w:val="18"/>
        </w:rPr>
        <w:t>https://pubmed.ncbi.nlm.nih.gov/42805198/</w:t>
      </w:r>
    </w:p>
    <w:p>
      <w:pPr>
        <w:pStyle w:val="Heading2"/>
      </w:pPr>
      <w:r>
        <w:t>Keimbahnvariantenscreening: Nutzen vs. Schaden für Population?</w:t>
      </w:r>
    </w:p>
    <w:p>
      <w:r>
        <w:rPr>
          <w:i/>
          <w:color w:val="666666"/>
          <w:sz w:val="18"/>
        </w:rPr>
        <w:t>Turnbull C et al.  ·  Lancet Oncol  ·  25.09.2026  ·  PMID 42790443</w:t>
      </w:r>
    </w:p>
    <w:p>
      <w:r>
        <w:t>Policy Review von Experten zu Expansion von Cancer-Susceptibility-Testing von Genetik-Kliniken in die Bevölkerung; Fokus auf klinische Evidenz und Health-System-Implikationen.</w:t>
      </w:r>
    </w:p>
    <w:p>
      <w:r>
        <w:rPr>
          <w:b/>
        </w:rPr>
        <w:t xml:space="preserve">Ergebnis: </w:t>
      </w:r>
      <w:r>
        <w:t>Nur für wenige Gene (BRCA1, BRCA2, MLH1, MSH2) etablierte Risiken und evidenzgestützte Interventionen. Für viele Panel-Gene: unsichere Penetranz, fehlende Mortalitätsreduktion und Kosteneffektivität. Polygene Risikoscores diskriminatorisch begrenzt, abhängig von Ethnizität. Tiered, kontextabhängiger Implementierungsansatz empfohlen.</w:t>
      </w:r>
    </w:p>
    <w:p>
      <w:r>
        <w:rPr>
          <w:b/>
          <w:sz w:val="19"/>
        </w:rPr>
        <w:t xml:space="preserve">Übertragbarkeit: </w:t>
      </w:r>
      <w:r>
        <w:rPr>
          <w:sz w:val="19"/>
        </w:rPr>
        <w:t>Direkt auf Deutschland übertragbar; könnte AMNOG-, Zertifizierungs- und Leitlinien-Entscheidungen beeinflussen.</w:t>
      </w:r>
    </w:p>
    <w:p>
      <w:r>
        <w:rPr>
          <w:color w:val="5A7D3A"/>
          <w:sz w:val="18"/>
        </w:rPr>
        <w:t>https://pubmed.ncbi.nlm.nih.gov/42790443/</w:t>
      </w:r>
    </w:p>
    <w:p>
      <w:pPr>
        <w:pStyle w:val="Heading2"/>
      </w:pPr>
      <w:r>
        <w:t>Real-World-Überleben HER2-positiver metastastischer Brustkrebs: 41,4 Monate</w:t>
      </w:r>
    </w:p>
    <w:p>
      <w:r>
        <w:rPr>
          <w:i/>
          <w:color w:val="666666"/>
          <w:sz w:val="18"/>
        </w:rPr>
        <w:t>Lee SC et al.  ·  ESMO Open  ·  25.09.2026  ·  PMID 42790263</w:t>
      </w:r>
    </w:p>
    <w:p>
      <w:r>
        <w:t>Retrospektive HER2 REAL Study aus 6 Ländern mit 763 Patienten und HER2-positivem metastasiertem Brustkrebs; Treatment Patterns und OS.</w:t>
      </w:r>
    </w:p>
    <w:p>
      <w:r>
        <w:rPr>
          <w:b/>
        </w:rPr>
        <w:t xml:space="preserve">Ergebnis: </w:t>
      </w:r>
      <w:r>
        <w:t>Mediales Gesamtüberleben: 41,4 Monate (95%-KI 38,1–45,8). Erste Linie Trastuzumab+Pertuzumab+CT: 58,1 % erhalten, medianes OS 46,8 Monate. Zweite Linie T-DM1: 45,5 %, medianes OS 23,9 Monate. Heterogenes Therapiemuster, Optimierungsbedarf identifiziert.</w:t>
      </w:r>
    </w:p>
    <w:p>
      <w:r>
        <w:rPr>
          <w:b/>
          <w:sz w:val="19"/>
        </w:rPr>
        <w:t xml:space="preserve">Übertragbarkeit: </w:t>
      </w:r>
      <w:r>
        <w:rPr>
          <w:sz w:val="19"/>
        </w:rPr>
        <w:t>6 Länder, Patientenauswahl pragmatisch, Real-World-Vergleichswert aber limitiert aussagekräftig für Deutschland.</w:t>
      </w:r>
    </w:p>
    <w:p>
      <w:r>
        <w:rPr>
          <w:color w:val="5A7D3A"/>
          <w:sz w:val="18"/>
        </w:rPr>
        <w:t>https://pubmed.ncbi.nlm.nih.gov/42790263/</w:t>
      </w:r>
    </w:p>
    <w:p>
      <w:pPr>
        <w:pStyle w:val="Heading2"/>
      </w:pPr>
      <w:r>
        <w:t>Daratumumab mit VRd verbessert Remissionstiefe bei transplantuntauglichem Myelom</w:t>
      </w:r>
    </w:p>
    <w:p>
      <w:r>
        <w:rPr>
          <w:i/>
          <w:color w:val="666666"/>
          <w:sz w:val="18"/>
        </w:rPr>
        <w:t>Usmani SZ et al.  ·  J Clin Oncol  ·  25.09.2026  ·  PMID 42789828</w:t>
      </w:r>
    </w:p>
    <w:p>
      <w:r>
        <w:t>Phase-3-Studie CEPHEUS mit 289 transplantuntauglichen Patienten (median 58,7 Monate Nachfolge): DVRd versus VRd.</w:t>
      </w:r>
    </w:p>
    <w:p>
      <w:r>
        <w:rPr>
          <w:b/>
        </w:rPr>
        <w:t xml:space="preserve">Ergebnis: </w:t>
      </w:r>
      <w:r>
        <w:t>MRD-Negativität (10⁻⁵): 60,4 % (DVRd) vs. 39,3 % (VRd; p=0,0004). Progressionsfreies Überleben: HR 0,51 (95%-KI 0,35–0,74; p=0,0003). Nachhaltige MRD ≥12 Monate: 47,2 % vs. 28,3 % (p=0,0010).</w:t>
      </w:r>
    </w:p>
    <w:p>
      <w:r>
        <w:rPr>
          <w:b/>
          <w:sz w:val="19"/>
        </w:rPr>
        <w:t xml:space="preserve">Übertragbarkeit: </w:t>
      </w:r>
      <w:r>
        <w:rPr>
          <w:sz w:val="19"/>
        </w:rPr>
        <w:t>Zulassungsrelevante Studie, Datenlage für AMNOG-Bewertung verfügbar.</w:t>
      </w:r>
    </w:p>
    <w:p>
      <w:r>
        <w:rPr>
          <w:color w:val="5A7D3A"/>
          <w:sz w:val="18"/>
        </w:rPr>
        <w:t>https://pubmed.ncbi.nlm.nih.gov/42789828/</w:t>
      </w:r>
    </w:p>
    <w:p>
      <w:pPr>
        <w:pStyle w:val="Heading2"/>
      </w:pPr>
      <w:r>
        <w:t>Symptomcluster nach Schilddrüsenkrebs-OP beeinflussen Lebensqualität</w:t>
      </w:r>
    </w:p>
    <w:p>
      <w:r>
        <w:rPr>
          <w:i/>
          <w:color w:val="666666"/>
          <w:sz w:val="18"/>
        </w:rPr>
        <w:t>Gao J et al.  ·  Oncologist  ·  24.09.2026  ·  PMID 42786665</w:t>
      </w:r>
    </w:p>
    <w:p>
      <w:r>
        <w:t>Nationale multizentrische Querschnittsstudie mit 1.093 Patienten 4 Wochen post-Thyreoidektomie; Symptome und Lebensqualität mittels EORTC QLQ erhoben.</w:t>
      </w:r>
    </w:p>
    <w:p>
      <w:r>
        <w:rPr>
          <w:b/>
        </w:rPr>
        <w:t xml:space="preserve">Ergebnis: </w:t>
      </w:r>
      <w:r>
        <w:t>Drei Symptomcluster identifiziert: psychologisch-somatisch, Schilddrüsenhormon-bezogen, Operations-bezogen. Psychologisch-somatischer Cluster stärker mit schlechterer Lebensqualität assoziiert (β=−0,596; 95%-KI −0,713 bis −0,581). Frauen und Totalthyreoidektomie zeigten höhere Risikomarker.</w:t>
      </w:r>
    </w:p>
    <w:p>
      <w:r>
        <w:rPr>
          <w:b/>
          <w:sz w:val="19"/>
        </w:rPr>
        <w:t xml:space="preserve">Übertragbarkeit: </w:t>
      </w:r>
      <w:r>
        <w:rPr>
          <w:sz w:val="19"/>
        </w:rPr>
        <w:t>China, Symptomerfassung übertragbar, strukturierte Nachsorge-Interventionen ableitbar.</w:t>
      </w:r>
    </w:p>
    <w:p>
      <w:r>
        <w:rPr>
          <w:color w:val="5A7D3A"/>
          <w:sz w:val="18"/>
        </w:rPr>
        <w:t>https://pubmed.ncbi.nlm.nih.gov/42786665/</w:t>
      </w:r>
    </w:p>
    <w:p>
      <w:pPr>
        <w:pStyle w:val="Heading2"/>
      </w:pPr>
      <w:r>
        <w:t>TA-Wiederholungen als Schwachstelle extrachromosomaler DNA im Tumor</w:t>
      </w:r>
    </w:p>
    <w:p>
      <w:r>
        <w:rPr>
          <w:i/>
          <w:color w:val="666666"/>
          <w:sz w:val="18"/>
        </w:rPr>
        <w:t>Billing D et al.  ·  Nature  ·  23.09.2026  ·  PMID 42778593</w:t>
      </w:r>
    </w:p>
    <w:p>
      <w:r>
        <w:t>Grundlagenarbeit zur Mechanik der Aufrechterhaltung extrachromosomaler DNA (ecDNA) in Krebszellen mittels Single-Cell-Sequenzierung und funktionellen Studien.</w:t>
      </w:r>
    </w:p>
    <w:p>
      <w:r>
        <w:rPr>
          <w:b/>
        </w:rPr>
        <w:t xml:space="preserve">Ergebnis: </w:t>
      </w:r>
      <w:r>
        <w:t>Polymerase-θ (Polθ) und FANCM supprimieren Bruchbildung an TA-reichen Stellen. MMEJ-Reparatur hält ecDNA stabil; Polθ-Inhibition destabilisiert ecDNA selektiv, induziert Fitnessverlust in ecDNA-abhängigen Tumoren. Therapeutisches Potenzial identifiziert.</w:t>
      </w:r>
    </w:p>
    <w:p>
      <w:r>
        <w:rPr>
          <w:b/>
          <w:sz w:val="19"/>
        </w:rPr>
        <w:t xml:space="preserve">Übertragbarkeit: </w:t>
      </w:r>
      <w:r>
        <w:rPr>
          <w:sz w:val="19"/>
        </w:rPr>
        <w:t>USA und Deutschland (Charité beteiligt); Zielstruktur für neue Wirkstoff-entwicklung, noch präklinisch.</w:t>
      </w:r>
    </w:p>
    <w:p>
      <w:r>
        <w:rPr>
          <w:color w:val="5A7D3A"/>
          <w:sz w:val="18"/>
        </w:rPr>
        <w:t>https://pubmed.ncbi.nlm.nih.gov/42778593/</w:t>
      </w:r>
    </w:p>
    <w:p>
      <w:pPr>
        <w:pStyle w:val="Heading1"/>
      </w:pPr>
      <w:r>
        <w:t>Aufgenommen am 28.09.2026</w:t>
      </w:r>
    </w:p>
    <w:p>
      <w:pPr>
        <w:pStyle w:val="Heading2"/>
      </w:pPr>
      <w:r>
        <w:t>Kanonische Action Research verbessert Protontherapie-Zuweisungsquoten: Niederländische Versorgungsstudie zeigt Implementierungsdefizite</w:t>
      </w:r>
    </w:p>
    <w:p>
      <w:r>
        <w:rPr>
          <w:i/>
          <w:color w:val="666666"/>
          <w:sz w:val="18"/>
        </w:rPr>
        <w:t>Ho F et al.  ·  Radiother Oncol  ·  27.09.2026  ·  PMID 42801959</w:t>
      </w:r>
    </w:p>
    <w:p>
      <w:r>
        <w:t>Qualitative Implementierungsstudie mit Canonical Action Research in niederländischen Radiotherapie-Zentren zu Barrieren und Interventionen bei Protontherapie-Zuweisungen für Lungen- und Ösophaguskarzinome.</w:t>
      </w:r>
    </w:p>
    <w:p>
      <w:r>
        <w:rPr>
          <w:b/>
        </w:rPr>
        <w:t xml:space="preserve">Ergebnis: </w:t>
      </w:r>
      <w:r>
        <w:t>Diagnose-Phase identifizierte Barrieren (Wissenslücken, unzureichende Koordination, Logistik). Implementierte stakeholder-entwickelte Interventionen (Logistik-Verbesserungen, Patienten-Begleiter) waren mit erhöhten Überweisungs- und Behandlungsraten an einem Zentrum assoziiert. Stakeholder-Wahrnehmung von Pathway-Design und Intervention-Angemessenheit verbesserte sich; Patienten-Zufriedenheit blieb stabil.</w:t>
      </w:r>
    </w:p>
    <w:p>
      <w:r>
        <w:rPr>
          <w:b/>
          <w:sz w:val="19"/>
        </w:rPr>
        <w:t xml:space="preserve">Übertragbarkeit: </w:t>
      </w:r>
      <w:r>
        <w:rPr>
          <w:sz w:val="19"/>
        </w:rPr>
        <w:t>Niederlande, vergleichbares Versicherungssystem; Modell übertragbar auf deutsche Zentrumsvernetzung</w:t>
      </w:r>
    </w:p>
    <w:p>
      <w:r>
        <w:rPr>
          <w:color w:val="5A7D3A"/>
          <w:sz w:val="18"/>
        </w:rPr>
        <w:t>https://pubmed.ncbi.nlm.nih.gov/42801959/</w:t>
      </w:r>
    </w:p>
    <w:p>
      <w:pPr>
        <w:pStyle w:val="Heading2"/>
      </w:pPr>
      <w:r>
        <w:t>Schlafstörungen und Müdigkeit bei Oropharyngeal-Karzinom-Radiotherapie-Überlebenden korrelieren mit Gesamtüberleben</w:t>
      </w:r>
    </w:p>
    <w:p>
      <w:r>
        <w:rPr>
          <w:i/>
          <w:color w:val="666666"/>
          <w:sz w:val="18"/>
        </w:rPr>
        <w:t>Carevic G et al.  ·  Radiother Oncol  ·  26.09.2026  ·  PMID 42800678</w:t>
      </w:r>
    </w:p>
    <w:p>
      <w:r>
        <w:t>Prospektive Longitudinalkohorte (372 Patienten mit Oropharyngeal-Karzinom unter kurativer Strahlentherapie ± Chemotherapie) zum Symptom-Verlauf und Überleben anhand patientenberichteter Outcomes (MDASI-HN).</w:t>
      </w:r>
    </w:p>
    <w:p>
      <w:r>
        <w:rPr>
          <w:b/>
        </w:rPr>
        <w:t xml:space="preserve">Ergebnis: </w:t>
      </w:r>
      <w:r>
        <w:t>Schwere Müdigkeit, Schlafstörung und Schläfrigkeit erreichten Höhepunkt bei RT-Ende (26%, 15%, 18%) und normalisierten sich bis Monat 6. Schwere longitudinale Müdigkeit (HR 5,05), Schlafstörung (HR 3,86) und Schläfrigkeit (HR 8,24) waren unabhängig mit schlechterer Overall Survival assoziiert (p &lt; 0,05). Effekt blieb nach multivariater Anpassung signifikant.</w:t>
      </w:r>
    </w:p>
    <w:p>
      <w:r>
        <w:rPr>
          <w:b/>
          <w:sz w:val="19"/>
        </w:rPr>
        <w:t xml:space="preserve">Übertragbarkeit: </w:t>
      </w:r>
      <w:r>
        <w:rPr>
          <w:sz w:val="19"/>
        </w:rPr>
        <w:t>USA-Tertiary Center; Symptom-basierte Risikoidentifikation übertragbar auf deutsche Nachsorge-Protokolle</w:t>
      </w:r>
    </w:p>
    <w:p>
      <w:r>
        <w:rPr>
          <w:color w:val="5A7D3A"/>
          <w:sz w:val="18"/>
        </w:rPr>
        <w:t>https://pubmed.ncbi.nlm.nih.gov/42800678/</w:t>
      </w:r>
    </w:p>
    <w:p>
      <w:pPr>
        <w:pStyle w:val="Heading2"/>
      </w:pPr>
      <w:r>
        <w:t>Präzisionsmedizin bei ungleicher Zugangsverteilung: Global-Audit zeigt massive Lücken zwischen Anspruch und Versorgung</w:t>
      </w:r>
    </w:p>
    <w:p>
      <w:r>
        <w:rPr>
          <w:i/>
          <w:color w:val="666666"/>
          <w:sz w:val="18"/>
        </w:rPr>
        <w:t>Casolino R et al.  ·  Lancet Oncol  ·  25.09.2026  ·  PMID 42790448</w:t>
      </w:r>
    </w:p>
    <w:p>
      <w:r>
        <w:t>Lancet-Onkologie-Kommission analysierte die globale Lage der Krebsgenetik und Präzisionsmedizin und bewertete Implementierungsbarrieren, Ungleichheiten und den Nutzen biomarker-gestützter Therapien.</w:t>
      </w:r>
    </w:p>
    <w:p>
      <w:r>
        <w:rPr>
          <w:b/>
        </w:rPr>
        <w:t xml:space="preserve">Ergebnis: </w:t>
      </w:r>
      <w:r>
        <w:t>Nur wenige validierte Biomarker-Therapie-Paare zeigen konsistente klinische Gewinne; umfassendere genomische Profiling-Ansätze erweitern Optionen für Patienten, doch profitiert nur ein kleiner Anteil von angepasster Therapie. Massive Ungleichheiten bei Zugang zur Genomik und Präzisionsmedizin bestehen länder- und populationsübergreifend. Die Studie liefert ein Implementierungs-Framework für gerechte, nachhaltige Skalierung.</w:t>
      </w:r>
    </w:p>
    <w:p>
      <w:r>
        <w:rPr>
          <w:b/>
          <w:sz w:val="19"/>
        </w:rPr>
        <w:t xml:space="preserve">Übertragbarkeit: </w:t>
      </w:r>
      <w:r>
        <w:rPr>
          <w:sz w:val="19"/>
        </w:rPr>
        <w:t>Deutsches Gesundheitssystem: zentral für Zertifizierung der Zentren und AMNOG-Bewertung</w:t>
      </w:r>
    </w:p>
    <w:p>
      <w:r>
        <w:rPr>
          <w:color w:val="5A7D3A"/>
          <w:sz w:val="18"/>
        </w:rPr>
        <w:t>https://pubmed.ncbi.nlm.nih.gov/42790448/</w:t>
      </w:r>
    </w:p>
    <w:p>
      <w:pPr>
        <w:pStyle w:val="Heading2"/>
      </w:pPr>
      <w:r>
        <w:t>Gesamtüberleben als primärer Endpunkt in Phase-III-Onkologie-Studien: Metaanalyse zeigt konsistente Gewinne</w:t>
      </w:r>
    </w:p>
    <w:p>
      <w:r>
        <w:rPr>
          <w:i/>
          <w:color w:val="666666"/>
          <w:sz w:val="18"/>
        </w:rPr>
        <w:t>Sherry AD et al.  ·  Oncologist  ·  09.09.2026  ·  PMID 42789933</w:t>
      </w:r>
    </w:p>
    <w:p>
      <w:r>
        <w:t>OPTIMA-Metaanalyse mit individualisierten Patientendaten von 159 Phase-III-Studien mit Gesamt-Überleben als primärem Endpunkt (104.740 Patienten).</w:t>
      </w:r>
    </w:p>
    <w:p>
      <w:r>
        <w:rPr>
          <w:b/>
        </w:rPr>
        <w:t xml:space="preserve">Ergebnis: </w:t>
      </w:r>
      <w:r>
        <w:t>Experimentelle Arme zeigten im Zwei-Stufen-Cox-Modell verbesserte Overall Survival (Hazard Ratio 0,87; 95%-KI 0,85–0,89; p &lt; 0,0001), bestätigt im einstufigen stratifizierten Modell (HR 0,88; 95%-KI 0,85–0,90). Befund dokumentiert, dass randomisierte Phase-III-Studien mit OS-Primärendpunkt konsistent therapeutische Fortschritte nachweisen.</w:t>
      </w:r>
    </w:p>
    <w:p>
      <w:r>
        <w:rPr>
          <w:b/>
          <w:sz w:val="19"/>
        </w:rPr>
        <w:t xml:space="preserve">Übertragbarkeit: </w:t>
      </w:r>
      <w:r>
        <w:rPr>
          <w:sz w:val="19"/>
        </w:rPr>
        <w:t>Multinationale Studienpopulation; Befunde unterstützen Regulierungs- und Finanzierungsprioritäten für OS-fokussierte Trials</w:t>
      </w:r>
    </w:p>
    <w:p>
      <w:r>
        <w:rPr>
          <w:color w:val="5A7D3A"/>
          <w:sz w:val="18"/>
        </w:rPr>
        <w:t>https://pubmed.ncbi.nlm.nih.gov/42789933/</w:t>
      </w:r>
    </w:p>
    <w:p>
      <w:pPr>
        <w:pStyle w:val="Heading2"/>
      </w:pPr>
      <w:r>
        <w:t>Alkoholkonsum und Kolorektalkarzinom-Risiko bei Prä-Diabetes und Diabetes: Südkoreanische Kohorten zeigen Synergien</w:t>
      </w:r>
    </w:p>
    <w:p>
      <w:r>
        <w:rPr>
          <w:i/>
          <w:color w:val="666666"/>
          <w:sz w:val="18"/>
        </w:rPr>
        <w:t>Kim TS et al.  ·  J Natl Cancer Inst  ·  24.09.2026  ·  PMID 42786582</w:t>
      </w:r>
    </w:p>
    <w:p>
      <w:r>
        <w:t>Nationale südkoreanische Kohortenstudie (4,475.492 Erwachsene, Median-Follow-up 9,33 Jahre) zur Dosis-Wirkung zwischen Alkoholkonsum und Kolorektalkrebs-Inzidenz nach glykämischem Status.</w:t>
      </w:r>
    </w:p>
    <w:p>
      <w:r>
        <w:rPr>
          <w:b/>
        </w:rPr>
        <w:t xml:space="preserve">Ergebnis: </w:t>
      </w:r>
      <w:r>
        <w:t>51.592 CRC-Fälle dokumentiert. Leichter bis mäßiger Alkoholkonsum erhöhte CRC-Risiko synergistisch bei Prä-Diabetes (HR 1,23; 95%-KI 1,19–1,27; Synergieindex 1,72) und Diabetes (HR 1,48; 95%-KI 1,42–1,54; Synergieindex 2,04). Dose-abhängige lineare Assoziation über alle kolorektalen Subsites, steiler bei Diabetes.</w:t>
      </w:r>
    </w:p>
    <w:p>
      <w:r>
        <w:rPr>
          <w:b/>
          <w:sz w:val="19"/>
        </w:rPr>
        <w:t xml:space="preserve">Übertragbarkeit: </w:t>
      </w:r>
      <w:r>
        <w:rPr>
          <w:sz w:val="19"/>
        </w:rPr>
        <w:t>Südkorea, hohes Screening-Aufkommen; Prävention bei Stoffwechselvorstufen setzt patientenrelevante Endpunkte voraus</w:t>
      </w:r>
    </w:p>
    <w:p>
      <w:r>
        <w:rPr>
          <w:color w:val="5A7D3A"/>
          <w:sz w:val="18"/>
        </w:rPr>
        <w:t>https://pubmed.ncbi.nlm.nih.gov/42786582/</w:t>
      </w:r>
    </w:p>
    <w:p>
      <w:pPr>
        <w:pStyle w:val="Heading2"/>
      </w:pPr>
      <w:r>
        <w:t>KI-Modelle zur Risikoprognose in der Magenkrebsnachsorge: Transfernutzen unklar</w:t>
      </w:r>
    </w:p>
    <w:p>
      <w:r>
        <w:rPr>
          <w:i/>
          <w:color w:val="666666"/>
          <w:sz w:val="18"/>
        </w:rPr>
        <w:t>Rabasco Meneghetti A  ·  Ann Oncol  ·  Okt. 2026  ·  PMID 42760040</w:t>
      </w:r>
    </w:p>
    <w:p>
      <w:r>
        <w:t>Kommentar zu DeepComp, einem KI-System für postoperative Risikostratifizierung beim Magenkarzinom; erörtert Vorhersagekompetenz und Umsetzungserfordernisse.</w:t>
      </w:r>
    </w:p>
    <w:p>
      <w:r>
        <w:rPr>
          <w:b/>
        </w:rPr>
        <w:t xml:space="preserve">Ergebnis: </w:t>
      </w:r>
      <w:r>
        <w:t>Der Kommentar diskutiert Chancen maschineller Lernverfahren zur Risikoklassifizierung, warnt aber vor Interpretationsfallen und nennt fehlende Validierung in prospektiven Kohorten als zentrale Hürde für klinische Adoption.</w:t>
      </w:r>
    </w:p>
    <w:p>
      <w:r>
        <w:rPr>
          <w:b/>
          <w:sz w:val="19"/>
        </w:rPr>
        <w:t xml:space="preserve">Übertragbarkeit: </w:t>
      </w:r>
      <w:r>
        <w:rPr>
          <w:sz w:val="19"/>
        </w:rPr>
        <w:t>Deutschland: Validierung in Zentren notwendig vor Einsatz in AMNOG- und Zertifizierungskontexten</w:t>
      </w:r>
    </w:p>
    <w:p>
      <w:r>
        <w:rPr>
          <w:color w:val="5A7D3A"/>
          <w:sz w:val="18"/>
        </w:rPr>
        <w:t>https://pubmed.ncbi.nlm.nih.gov/42760040/</w:t>
      </w:r>
    </w:p>
    <w:p>
      <w:pPr>
        <w:pStyle w:val="Heading1"/>
      </w:pPr>
      <w:r>
        <w:t>Aufgenommen am 27.09.2026</w:t>
      </w:r>
    </w:p>
    <w:p>
      <w:pPr>
        <w:pStyle w:val="Heading2"/>
      </w:pPr>
      <w:r>
        <w:t>Single-Fraction SABR gleichwertig zu Multi-Fraction bei frühem NSCLC</w:t>
      </w:r>
    </w:p>
    <w:p>
      <w:r>
        <w:rPr>
          <w:i/>
          <w:color w:val="666666"/>
          <w:sz w:val="18"/>
        </w:rPr>
        <w:t>Aguirre-Meneses KA et al.  ·  Radiother Oncol  ·  26.09.2026  ·  PMID 42800679</w:t>
      </w:r>
    </w:p>
    <w:p>
      <w:r>
        <w:t>Bevölkerungsbasierte retrospektive Analyse aus British Columbia (2021-2024): 814 Läsionen bei 778 Patienten mit peripher gelegenem T1-2N0-NSCLC, behandelt mit Single-Fraction (SF) oder Multi-Fraction (MF) SABR, Nachverfolgung median 25,8 Monate.</w:t>
      </w:r>
    </w:p>
    <w:p>
      <w:r>
        <w:rPr>
          <w:b/>
        </w:rPr>
        <w:t xml:space="preserve">Ergebnis: </w:t>
      </w:r>
      <w:r>
        <w:t>Keine signifikanten Unterschiede in 2-Jahres-Lokalversagen (3,5% vs. 4,8%, p=0,11) oder 2-Jahres-Gesamtüberleben (79,3% vs. 79,4%, p=0,62). Grad-2-Toxizität 11,5% vs. 12,4%, Grad-3-5-Toxizität 1,5% vs. 3,9% (p=0,08), Brustwandtoxizität identisch 5,0%. SF-SABR war kein unabhängiger Prädiktor für Lokalversagen oder Toxizität.</w:t>
      </w:r>
    </w:p>
    <w:p>
      <w:r>
        <w:rPr>
          <w:b/>
          <w:sz w:val="19"/>
        </w:rPr>
        <w:t xml:space="preserve">Übertragbarkeit: </w:t>
      </w:r>
      <w:r>
        <w:rPr>
          <w:sz w:val="19"/>
        </w:rPr>
        <w:t>Kanadisches System mit vergleichbarem öffentlichem Versicherungsauftrag; Kostenwirksamkeit für deutsche Strahlenkliniken relevant.</w:t>
      </w:r>
    </w:p>
    <w:p>
      <w:r>
        <w:rPr>
          <w:color w:val="5A7D3A"/>
          <w:sz w:val="18"/>
        </w:rPr>
        <w:t>https://pubmed.ncbi.nlm.nih.gov/42800679/</w:t>
      </w:r>
    </w:p>
    <w:p>
      <w:pPr>
        <w:pStyle w:val="Heading2"/>
      </w:pPr>
      <w:r>
        <w:t>Tumor-First DNA-Testing effizienter als Familienanamnese für BRCA-Screening</w:t>
      </w:r>
    </w:p>
    <w:p>
      <w:r>
        <w:rPr>
          <w:i/>
          <w:color w:val="666666"/>
          <w:sz w:val="18"/>
        </w:rPr>
        <w:t>Kloots ISH et al.  ·  Eur J Cancer  ·  19.09.2026  ·  PMID 42800309</w:t>
      </w:r>
    </w:p>
    <w:p>
      <w:r>
        <w:t>Prospektive Studie (PROMPT) mit 452 Patienten mit metastasiertem Prostatakarzinom: Vergleich tumor-first-workflow (TFW) versus familienanamnese-basierte Testung für Keimbahnvarianten in BRCA1/2, PALB2, ATM, CHEK2.</w:t>
      </w:r>
    </w:p>
    <w:p>
      <w:r>
        <w:rPr>
          <w:b/>
        </w:rPr>
        <w:t xml:space="preserve">Ergebnis: </w:t>
      </w:r>
      <w:r>
        <w:t>TFW identifizierte 22/36 (61%) aller Träger pathogener Keimbahnvarianten mit technischer Sensitivität von 97%. Gegenüber modellierter Familienanamnese-Strategie (8 vs. 22 Träger identifiziert; p&lt;0,001) war TFW deutlich überlegen mit positiv-prädiktivem Wert 51% vs. 13% und niedrigerer Anzahl zum Testen (2,0 vs. 7,9). Kosten pro entdeckter Variante: 998 € vs. 12.246 €.</w:t>
      </w:r>
    </w:p>
    <w:p>
      <w:r>
        <w:rPr>
          <w:b/>
          <w:sz w:val="19"/>
        </w:rPr>
        <w:t xml:space="preserve">Übertragbarkeit: </w:t>
      </w:r>
      <w:r>
        <w:rPr>
          <w:sz w:val="19"/>
        </w:rPr>
        <w:t>Niederländisches Gesundheitssystem mit direkter Übertragbarkeit auf deutsches Mutationsscreening-Protokoll.</w:t>
      </w:r>
    </w:p>
    <w:p>
      <w:r>
        <w:rPr>
          <w:color w:val="5A7D3A"/>
          <w:sz w:val="18"/>
        </w:rPr>
        <w:t>https://pubmed.ncbi.nlm.nih.gov/42800309/</w:t>
      </w:r>
    </w:p>
    <w:p>
      <w:pPr>
        <w:pStyle w:val="Heading2"/>
      </w:pPr>
      <w:r>
        <w:t>Spirituelle Überzeugungen hemmen Studienteilnahme schwarzer Krebspatienten massiv</w:t>
      </w:r>
    </w:p>
    <w:p>
      <w:r>
        <w:rPr>
          <w:i/>
          <w:color w:val="666666"/>
          <w:sz w:val="18"/>
        </w:rPr>
        <w:t>Gomez C et al.  ·  Int J Radiat Oncol Biol Phys  ·  25.09.2026  ·  PMID 42790602</w:t>
      </w:r>
    </w:p>
    <w:p>
      <w:r>
        <w:t>Querschnittstudie an 172 von 247 Patienten (70% Teilnahmequote) nach definitiver Strahlentherapie für GI-, thorakale, gynäkologische und HNO-Malignome (Oktober 2023–Februar 2024): Psychosoziale Faktoren und Studieneinschlusshindernisse.</w:t>
      </w:r>
    </w:p>
    <w:p>
      <w:r>
        <w:rPr>
          <w:b/>
        </w:rPr>
        <w:t xml:space="preserve">Ergebnis: </w:t>
      </w:r>
      <w:r>
        <w:t>Schwarze Patienten (n=42, 24%) waren weniger verheiratet (16,7% vs. 68,8%; p&lt;0,001), geringer gebildet und hatten niedrigeres Einkommen ($69.318 vs. $106.823; p&lt;0,001). Obwohl gleich viele zur Teilnahme eingeladen (17,9% vs. 21,7%), stimmten weniger schwarze Patienten zu (17,1% vs. 31,9%; p&lt;0,001). Höhere Religiosität senkte Teilnahmebereitschaft um 44% (p=0,036). 48% schwarzer vs. 17,3% weißer Patienten glaubten, dass Gott Heilung bestimmt (p=0,024); 18% schwarzer vs. 3,6% weißer Patienten misstrauten klinischer Forschung (p=0,001).</w:t>
      </w:r>
    </w:p>
    <w:p>
      <w:r>
        <w:rPr>
          <w:b/>
          <w:sz w:val="19"/>
        </w:rPr>
        <w:t xml:space="preserve">Übertragbarkeit: </w:t>
      </w:r>
      <w:r>
        <w:rPr>
          <w:sz w:val="19"/>
        </w:rPr>
        <w:t>USA - Disparitäten-fokussiertes qualitatives Forschungsdesign; deutsche Rekrutierungsstrategien müssen kulturelle und religiöse Faktoren adressieren.</w:t>
      </w:r>
    </w:p>
    <w:p>
      <w:r>
        <w:rPr>
          <w:color w:val="5A7D3A"/>
          <w:sz w:val="18"/>
        </w:rPr>
        <w:t>https://pubmed.ncbi.nlm.nih.gov/42790602/</w:t>
      </w:r>
    </w:p>
    <w:p>
      <w:pPr>
        <w:pStyle w:val="Heading2"/>
      </w:pPr>
      <w:r>
        <w:t>Komplexe Genomik verzögert Zugang zu Essential Cancer Medicines global</w:t>
      </w:r>
    </w:p>
    <w:p>
      <w:r>
        <w:rPr>
          <w:i/>
          <w:color w:val="666666"/>
          <w:sz w:val="18"/>
        </w:rPr>
        <w:t>Vokinger KN et al.  ·  Lancet Oncol  ·  25.09.2026  ·  PMID 42790449</w:t>
      </w:r>
    </w:p>
    <w:p>
      <w:r>
        <w:t>Retrospektive Analyse der Verfügbarkeit von 41 Essential Cancer Medicines auf der WHO-Liste zwischen 2002 und 2023 in 71 Ländern, unterschieden nach Anforderung an Immunhistochemie, komplexe Genomik oder keine Diagnostik.</w:t>
      </w:r>
    </w:p>
    <w:p>
      <w:r>
        <w:rPr>
          <w:b/>
        </w:rPr>
        <w:t xml:space="preserve">Ergebnis: </w:t>
      </w:r>
      <w:r>
        <w:t>Arzneien, die komplexe genomische Diagnostik erfordern, zeigen 65% niedrigere Aufnahmevolumina als solche ohne Diagnostik-Anforderung (Regressionskoeffizient −0,453, p&lt;0,0001). In Ländern mit niedrigem BIP (&lt;11.000 USD) werden nur 44% der Arzneien mit komplexer Genomik eingesetzt, gegenüber 79% in Ländern mit hohem BIP (&gt;33.000 USD). Die Aufnahme zeigt, dass WHO-EML-Listung allein für Zugang insufficient ist.</w:t>
      </w:r>
    </w:p>
    <w:p>
      <w:r>
        <w:rPr>
          <w:b/>
          <w:sz w:val="19"/>
        </w:rPr>
        <w:t xml:space="preserve">Übertragbarkeit: </w:t>
      </w:r>
      <w:r>
        <w:rPr>
          <w:sz w:val="19"/>
        </w:rPr>
        <w:t>Zeigt strukturelle Barrieren für Precision Oncology in Ländern mit begrenzter diagnostischer Infrastruktur; international vergleichbar.</w:t>
      </w:r>
    </w:p>
    <w:p>
      <w:r>
        <w:rPr>
          <w:color w:val="5A7D3A"/>
          <w:sz w:val="18"/>
        </w:rPr>
        <w:t>https://pubmed.ncbi.nlm.nih.gov/42790449/</w:t>
      </w:r>
    </w:p>
    <w:p>
      <w:pPr>
        <w:pStyle w:val="Heading2"/>
      </w:pPr>
      <w:r>
        <w:t>Venetoclax + Inotuzumab ozogamicin erzielt 95% komplette Remission im rezidivierten/refraktären B-ALL</w:t>
      </w:r>
    </w:p>
    <w:p>
      <w:r>
        <w:rPr>
          <w:i/>
          <w:color w:val="666666"/>
          <w:sz w:val="18"/>
        </w:rPr>
        <w:t>Luskin MR et al.  ·  Blood  ·  25.09.2026  ·  PMID 42789493</w:t>
      </w:r>
    </w:p>
    <w:p>
      <w:r>
        <w:t>Phase-1-Studie (23 Patienten, 15 ALL, 8 LBL): Kombination BCL-2-Inhibitor Venetoclax (VEN 400 mg/Tag 21 Tage) plus CD22-Antikörper-Wirkstoff-Konjugat Inotuzumab ozogamicin (Standard-Dosis) bei rezidiviertem/refraktärem CD22+ B-ALL/lymphoblastischem Lymphom.</w:t>
      </w:r>
    </w:p>
    <w:p>
      <w:r>
        <w:rPr>
          <w:b/>
        </w:rPr>
        <w:t xml:space="preserve">Ergebnis: </w:t>
      </w:r>
      <w:r>
        <w:t>Von 22 evaluablen Patienten erreichten 21 (95,5%) komplette Remission, 19 nach einem Zyklus. Messbare Resterkrankung (MRD) negativ in 88,9% (Flow &lt;10⁻⁴) und 73,7% (NGS &lt;10⁻⁶). Zwei-Jahres-krankheitsfreies Überleben 48% (95% KI 24–72%), medianes Gesamtüberleben nicht erreicht. Nebenwirkungen Grad ≥3: Thrombozytopenie 43,5%, Neutropenie 39,1%, sinusoidales obstruktives Syndrom 4 Patienten. MRD-Negativität korrelierte mit BCL-2-Abhängigkeit; Progression verband sich mit MCL-1-Abhängigkeit, CD22-Escape, ABCB1-Expression.</w:t>
      </w:r>
    </w:p>
    <w:p>
      <w:r>
        <w:rPr>
          <w:b/>
          <w:sz w:val="19"/>
        </w:rPr>
        <w:t xml:space="preserve">Übertragbarkeit: </w:t>
      </w:r>
      <w:r>
        <w:rPr>
          <w:sz w:val="19"/>
        </w:rPr>
        <w:t>USA-Zentrum, Phase 1; internationale Wirkstoffkombination, Übertragung auf Deutschland abhängig von Zulassung und lokaler ALL-Protokoll-Integration.</w:t>
      </w:r>
    </w:p>
    <w:p>
      <w:r>
        <w:rPr>
          <w:color w:val="5A7D3A"/>
          <w:sz w:val="18"/>
        </w:rPr>
        <w:t>https://pubmed.ncbi.nlm.nih.gov/42789493/</w:t>
      </w:r>
    </w:p>
    <w:p>
      <w:pPr>
        <w:pStyle w:val="Heading2"/>
      </w:pPr>
      <w:r>
        <w:t>Körperliche Aktivität verbessert Krankheitsfreies Überleben bei ctDNA-negativem Kolonkarzinom</w:t>
      </w:r>
    </w:p>
    <w:p>
      <w:r>
        <w:rPr>
          <w:i/>
          <w:color w:val="666666"/>
          <w:sz w:val="18"/>
        </w:rPr>
        <w:t>Zhang GQ et al.  ·  J Natl Cancer Inst  ·  24.09.2026  ·  PMID 42786576</w:t>
      </w:r>
    </w:p>
    <w:p>
      <w:r>
        <w:t>Post-hoc-Analyse der Phase-III-Studie CALGB/SWOG 80702 (763 Patienten Stage III Kolonkarzinom): Assoziation von körperlicher Aktivität (gemessen in MET-Stunden/Woche) und postoperativem Überleben, stratifiziert nach zirkulierender Tumor-DNA (ctDNA).</w:t>
      </w:r>
    </w:p>
    <w:p>
      <w:r>
        <w:rPr>
          <w:b/>
        </w:rPr>
        <w:t xml:space="preserve">Ergebnis: </w:t>
      </w:r>
      <w:r>
        <w:t>Bei ctDNA-negativen Patienten zeigten moderate (HR 0,58, 95% KI 0,37–0,91) und hohe körperliche Aktivität (HR 0,49, 95% KI 0,27–0,86) versus Inaktivität verbessertes krankheitsfreies Überleben. Bei ctDNA-positiven Patienten war körperliche Aktivität nicht prognostisch (p&gt;0,05). Physische Aktivität plus adjuvantes Celecoxib zeigte Vorteil in beiden Gruppen (ctDNA-positiv: HR 0,29, 95% KI 0,15–0,57).</w:t>
      </w:r>
    </w:p>
    <w:p>
      <w:r>
        <w:rPr>
          <w:b/>
          <w:sz w:val="19"/>
        </w:rPr>
        <w:t xml:space="preserve">Übertragbarkeit: </w:t>
      </w:r>
      <w:r>
        <w:rPr>
          <w:sz w:val="19"/>
        </w:rPr>
        <w:t>Nordamerikanische Kohortenstudie; ctDNA-Analytik national nur in Zentren verfügbar, Aktivitätsinterventionen aber universell umsetzbar.</w:t>
      </w:r>
    </w:p>
    <w:p>
      <w:r>
        <w:rPr>
          <w:color w:val="5A7D3A"/>
          <w:sz w:val="18"/>
        </w:rPr>
        <w:t>https://pubmed.ncbi.nlm.nih.gov/42786576/</w:t>
      </w:r>
    </w:p>
    <w:p>
      <w:pPr>
        <w:pStyle w:val="Heading2"/>
      </w:pPr>
      <w:r>
        <w:t>Evorpacept + Trastuzumab/Ramucirumab/Paclitaxel verbessert Ansprechrate im HER2+ Magenkarzinom</w:t>
      </w:r>
    </w:p>
    <w:p>
      <w:r>
        <w:rPr>
          <w:i/>
          <w:color w:val="666666"/>
          <w:sz w:val="18"/>
        </w:rPr>
        <w:t>Shitara K et al.  ·  Nat Med  ·  24.09.2026  ·  PMID 42786305</w:t>
      </w:r>
    </w:p>
    <w:p>
      <w:r>
        <w:t>Phase-2-Portion der randomisierten Studie ASPEN-06 (127 Patienten mit vorbehandeltem HER2-überexprimiertem metastasiertem Magen-/Ösophaguskarzinom): Evorpacept (CD47-SIRPα-Blocker) plus Standard-Tripel (TRP) versus TRP allein.</w:t>
      </w:r>
    </w:p>
    <w:p>
      <w:r>
        <w:rPr>
          <w:b/>
        </w:rPr>
        <w:t xml:space="preserve">Ergebnis: </w:t>
      </w:r>
      <w:r>
        <w:t>Primärer Endpunkt: Objektive Ansprechrate (ORR) investigator-assessed 40,3% (Evo+TRP) vs. 26,6% (TRP) in ITT-Population (Differenz 13,7%, p&lt;0,001), in Fresh-Biopsy-HER2+-Subgruppe 54,8% vs. 23,1% (Differenz 31,7%). Differenzen überschritten Schwellen, aber vs. historischem Benchmark (30%) verfehlte nur Fresh-Biopsy-Gruppe Signifikanz knapp (p=0,030 one-sided). Toxizitäten vergleichbar mit etabliertem Profil.</w:t>
      </w:r>
    </w:p>
    <w:p>
      <w:r>
        <w:rPr>
          <w:b/>
          <w:sz w:val="19"/>
        </w:rPr>
        <w:t xml:space="preserve">Übertragbarkeit: </w:t>
      </w:r>
      <w:r>
        <w:rPr>
          <w:sz w:val="19"/>
        </w:rPr>
        <w:t>Internationale Phase-2-Studie; Zulassungsfähigkeit zu klären, Übertragung auf Deutschland abhängig von Zulassung und Amnog-Bewertung.</w:t>
      </w:r>
    </w:p>
    <w:p>
      <w:r>
        <w:rPr>
          <w:color w:val="5A7D3A"/>
          <w:sz w:val="18"/>
        </w:rPr>
        <w:t>https://pubmed.ncbi.nlm.nih.gov/42786305/</w:t>
      </w:r>
    </w:p>
    <w:p>
      <w:pPr>
        <w:pStyle w:val="Heading1"/>
      </w:pPr>
      <w:r>
        <w:t>Aufgenommen am 26.09.2026</w:t>
      </w:r>
    </w:p>
    <w:p>
      <w:pPr>
        <w:pStyle w:val="Heading2"/>
      </w:pPr>
      <w:r>
        <w:t>Reduzierte Dosis für elektive Halsknotenbest. in Nasopharynxkarzinom: 5-Jahres-Sicherheit</w:t>
      </w:r>
    </w:p>
    <w:p>
      <w:r>
        <w:rPr>
          <w:i/>
          <w:color w:val="666666"/>
          <w:sz w:val="18"/>
        </w:rPr>
        <w:t>Chen X et al.  ·  Radiother Oncol  ·  25.09.2026  ·  PMID 42790787</w:t>
      </w:r>
    </w:p>
    <w:p>
      <w:r>
        <w:t>Retrospektive Kohorte mit 752 Patienten zu Langzeiteffizienz und Organschonung bei De-Eskalation der elektiven Halsknotenbestrahlung von 50 Gy auf 45 Gy EQD2 bei intensitätsmodulierter Radiotherapie.</w:t>
      </w:r>
    </w:p>
    <w:p>
      <w:r>
        <w:rPr>
          <w:b/>
        </w:rPr>
        <w:t xml:space="preserve">Ergebnis: </w:t>
      </w:r>
      <w:r>
        <w:t>5-Jahres-Regionalkontrollen 97,3 %, Gesamtüberleben 89,7 %. Nur 0,7 % isolierte Rezidive in der 45-Gy-Dosis. Vergleichspläne zeigten signifikante Dosisreduktion für alle Risikoorgane (p &lt; 0,001) mit bedeutsamen NTCP-Reduktionen für Parotisfunktionsverlust, Dysphagie und Hypothyreose (alle p &lt; 0,001).</w:t>
      </w:r>
    </w:p>
    <w:p>
      <w:r>
        <w:rPr>
          <w:b/>
          <w:sz w:val="19"/>
        </w:rPr>
        <w:t xml:space="preserve">Übertragbarkeit: </w:t>
      </w:r>
      <w:r>
        <w:rPr>
          <w:sz w:val="19"/>
        </w:rPr>
        <w:t>Chinesische Daten, internationales Standard-Bestrahlungsprotokoll, direkt übertragbar.</w:t>
      </w:r>
    </w:p>
    <w:p>
      <w:r>
        <w:rPr>
          <w:color w:val="5A7D3A"/>
          <w:sz w:val="18"/>
        </w:rPr>
        <w:t>https://pubmed.ncbi.nlm.nih.gov/42790787/</w:t>
      </w:r>
    </w:p>
    <w:p>
      <w:pPr>
        <w:pStyle w:val="Heading2"/>
      </w:pPr>
      <w:r>
        <w:t>Iberdomid + Daratumumab gegen Bortezomib bei Myelom: MRD-negative Remissionen verdoppelt</w:t>
      </w:r>
    </w:p>
    <w:p>
      <w:r>
        <w:rPr>
          <w:i/>
          <w:color w:val="666666"/>
          <w:sz w:val="18"/>
        </w:rPr>
        <w:t>Lonial S et al.  ·  Lancet Oncol  ·  25.09.2026  ·  PMID 42790445</w:t>
      </w:r>
    </w:p>
    <w:p>
      <w:r>
        <w:t>Phase-3-Studie (EXCALIBER-RRMM) mit 420 Patienten, randomisiert zum Vergleich Iberdomid/Daratumumab/Dexamethason vs. Daratumumab/Bortezomib/Dexamethason bei rezidiviertem/refraktärem Myelom.</w:t>
      </w:r>
    </w:p>
    <w:p>
      <w:r>
        <w:rPr>
          <w:b/>
        </w:rPr>
        <w:t xml:space="preserve">Ergebnis: </w:t>
      </w:r>
      <w:r>
        <w:t>MRD-negative komplette Remissionen (Fluoreszenzfluss &lt;10−5) 41 % vs. 21 % (odds ratio 2,8; 95%-KI 1,8–4,3; p &lt; 0,0001). Grad-3/4-Nebenwirkungen in 92 % vs. 70 % (Neutropenie 84 % vs. 11 %, Infektionen 39 % vs. 22 %), managebar mit Supportivtherapie.</w:t>
      </w:r>
    </w:p>
    <w:p>
      <w:r>
        <w:rPr>
          <w:b/>
          <w:sz w:val="19"/>
        </w:rPr>
        <w:t xml:space="preserve">Übertragbarkeit: </w:t>
      </w:r>
      <w:r>
        <w:rPr>
          <w:sz w:val="19"/>
        </w:rPr>
        <w:t>Internationale Studie, zentraler europäischer Einsatz in AMNOG-Verfahren zu prüfen.</w:t>
      </w:r>
    </w:p>
    <w:p>
      <w:r>
        <w:rPr>
          <w:color w:val="5A7D3A"/>
          <w:sz w:val="18"/>
        </w:rPr>
        <w:t>https://pubmed.ncbi.nlm.nih.gov/42790445/</w:t>
      </w:r>
    </w:p>
    <w:p>
      <w:pPr>
        <w:pStyle w:val="Heading2"/>
      </w:pPr>
      <w:r>
        <w:t>Online adaptive Radiotherapie bei Prostatakarzinom: weniger Toxizität, bessere Lebensqualität</w:t>
      </w:r>
    </w:p>
    <w:p>
      <w:r>
        <w:rPr>
          <w:i/>
          <w:color w:val="666666"/>
          <w:sz w:val="18"/>
        </w:rPr>
        <w:t>Kalinauskaite G et al.  ·  Strahlenther Onkol  ·  25.09.2026  ·  PMID 42789071</w:t>
      </w:r>
    </w:p>
    <w:p>
      <w:r>
        <w:t>Prospektive Studie zum Vergleich der akuten Toxizität und Lebensqualität bei adaptiver MRT-gestützter Online-Bestrahlung vs. konventioneller bildgestützter Radiotherapie bei Prostatakarzinom mit moderat hypofraktioniertem Schema.</w:t>
      </w:r>
    </w:p>
    <w:p>
      <w:r>
        <w:rPr>
          <w:b/>
        </w:rPr>
        <w:t xml:space="preserve">Ergebnis: </w:t>
      </w:r>
      <w:r>
        <w:t>Adaptive Radiotherapie war mit günstigerem gastrointestinalem Toxizitätsprofil assoziiert (niedrigere maximale Toxizitätsgrade; p = 0,028). Patienten der Vergleichsgruppe zeigten häufiger klinisch bedeutsame Verschlechterungen bei Fatigue (74 % vs. 37 %; p = 0,004), körperlicher Funktionsfähigkeit (27 % vs. 3 %; p = 0,009) und Rollenerfüllung (48,1 % vs. 22,9 %; p = 0,04).</w:t>
      </w:r>
    </w:p>
    <w:p>
      <w:r>
        <w:rPr>
          <w:b/>
          <w:sz w:val="19"/>
        </w:rPr>
        <w:t xml:space="preserve">Übertragbarkeit: </w:t>
      </w:r>
      <w:r>
        <w:rPr>
          <w:sz w:val="19"/>
        </w:rPr>
        <w:t>Deutsches Zentrumsmodell, Charité und Ulm, validierbar für deutsche Routineversorgung.</w:t>
      </w:r>
    </w:p>
    <w:p>
      <w:r>
        <w:rPr>
          <w:color w:val="5A7D3A"/>
          <w:sz w:val="18"/>
        </w:rPr>
        <w:t>https://pubmed.ncbi.nlm.nih.gov/42789071/</w:t>
      </w:r>
    </w:p>
    <w:p>
      <w:pPr>
        <w:pStyle w:val="Heading2"/>
      </w:pPr>
      <w:r>
        <w:t>Zentralisierte MRT-geführte adaptive Brachytherapie für Zervixkarzinom in Österreich: Durchführbarkeit und Ergebnisse</w:t>
      </w:r>
    </w:p>
    <w:p>
      <w:r>
        <w:rPr>
          <w:i/>
          <w:color w:val="666666"/>
          <w:sz w:val="18"/>
        </w:rPr>
        <w:t>Knoth J et al.  ·  Strahlenther Onkol  ·  25.09.2026  ·  PMID 42789070</w:t>
      </w:r>
    </w:p>
    <w:p>
      <w:r>
        <w:t>Retrospektive Kohortenstudie zur Machbarkeit eines österreichischen Zentranzugangsmodells mit dezentraler Perkutanstrahlung und zentralisierter MRT-gestützter adaptiver Brachytherapie bei 89 Patienten mit FIGO IB–IVA Zervixkarzinom (2018–2022).</w:t>
      </w:r>
    </w:p>
    <w:p>
      <w:r>
        <w:rPr>
          <w:b/>
        </w:rPr>
        <w:t xml:space="preserve">Ergebnis: </w:t>
      </w:r>
      <w:r>
        <w:t>3-Jahres-Gesamtüberleben 74 %, Lokalkontrollen 95 %, Beckenregionalkontrollen 95 %. Grad-≥3-Morbidität bei 26,1 %. Mediane Gesamtbehandlungsdauer 50 Tage. Durchführbarkeit und Qualität bestätigt, auch bei paraaortischen Metastasen (17 %).</w:t>
      </w:r>
    </w:p>
    <w:p>
      <w:r>
        <w:rPr>
          <w:b/>
          <w:sz w:val="19"/>
        </w:rPr>
        <w:t xml:space="preserve">Übertragbarkeit: </w:t>
      </w:r>
      <w:r>
        <w:rPr>
          <w:sz w:val="19"/>
        </w:rPr>
        <w:t>Österreichisches Verbundsystem direkt auf deutsche Zentrumslandschaft übertragbar.</w:t>
      </w:r>
    </w:p>
    <w:p>
      <w:r>
        <w:rPr>
          <w:color w:val="5A7D3A"/>
          <w:sz w:val="18"/>
        </w:rPr>
        <w:t>https://pubmed.ncbi.nlm.nih.gov/42789070/</w:t>
      </w:r>
    </w:p>
    <w:p>
      <w:pPr>
        <w:pStyle w:val="Heading2"/>
      </w:pPr>
      <w:r>
        <w:t>Frühe Palliativversorgung für afroamerikanische und rural wohnhafte Angehörige: Langzeitergebnisse</w:t>
      </w:r>
    </w:p>
    <w:p>
      <w:r>
        <w:rPr>
          <w:i/>
          <w:color w:val="666666"/>
          <w:sz w:val="18"/>
        </w:rPr>
        <w:t>Odom JN et al.  ·  J Natl Cancer Inst  ·  24.09.2026  ·  PMID 42786668</w:t>
      </w:r>
    </w:p>
    <w:p>
      <w:r>
        <w:t>Randomisierte Studie (ENABLE Cornerstone) bei 222 Angehörigen und 165 Patienten mit fortgeschrittenem Krebsleiden; Intervention: Laienkurs-geführte Palliativberatung für Pflegepersonen vs. Standardversorgung über 36–48 Wochen.</w:t>
      </w:r>
    </w:p>
    <w:p>
      <w:r>
        <w:rPr>
          <w:b/>
        </w:rPr>
        <w:t xml:space="preserve">Ergebnis: </w:t>
      </w:r>
      <w:r>
        <w:t>Pflegepersonen der Interventionsgruppe: niedrigere Anforderungsbelastung (Differenz −1,54; Cohen's d −0,41; p = 0,03) bei 36 Wochen. Patienten: niedriger depressive Symptome bei 36 Wochen (Differenz −1,53; p = 0,048) und bessere körperliche Lebensqualität bei 48 Wochen (Differenz +3,93; p = 0,02). Effekte bei Subgruppen mit strukturellen Zugangsbarrieren bedeutsam.</w:t>
      </w:r>
    </w:p>
    <w:p>
      <w:r>
        <w:rPr>
          <w:b/>
          <w:sz w:val="19"/>
        </w:rPr>
        <w:t xml:space="preserve">Übertragbarkeit: </w:t>
      </w:r>
      <w:r>
        <w:rPr>
          <w:sz w:val="19"/>
        </w:rPr>
        <w:t>USA, unterrepräsentierte Bevölkerungsgruppen; Modell für deutsche Versorgungslücken anwendbar.</w:t>
      </w:r>
    </w:p>
    <w:p>
      <w:r>
        <w:rPr>
          <w:color w:val="5A7D3A"/>
          <w:sz w:val="18"/>
        </w:rPr>
        <w:t>https://pubmed.ncbi.nlm.nih.gov/42786668/</w:t>
      </w:r>
    </w:p>
    <w:p>
      <w:pPr>
        <w:pStyle w:val="Heading2"/>
      </w:pPr>
      <w:r>
        <w:t>Keramidsynthese und YAP-Signalweg treiben Kolonkarzinom-Metastasen</w:t>
      </w:r>
    </w:p>
    <w:p>
      <w:r>
        <w:rPr>
          <w:i/>
          <w:color w:val="666666"/>
          <w:sz w:val="18"/>
        </w:rPr>
        <w:t>Goswami S et al.  ·  Science  ·  24.09.2026  ·  PMID 42784694</w:t>
      </w:r>
    </w:p>
    <w:p>
      <w:r>
        <w:t>Mechanistische Studie in Zellsystemen und Tiermodellen zur Rolle von de-novo-Keramidsynthese, Desaturase Degs1 und YAP-Signalweg in der Initiierung von Kolorektalkarzinom-Metastasen unter Einfluss diätetischen Fetts.</w:t>
      </w:r>
    </w:p>
    <w:p>
      <w:r>
        <w:rPr>
          <w:b/>
        </w:rPr>
        <w:t xml:space="preserve">Ergebnis: </w:t>
      </w:r>
      <w:r>
        <w:t>Dietäres Fett löst anhaltende Keramidakkumulation aus → YAP-Aktivierung über PP2A-Dephosphorylierung → YAP-DR-Programm mit Basp1-Expression. Degs1-Knockout reduzierten Keramidspiegel, YAP-Aktivität und Metastasierung ohne Primärtumor-Wachstum zu beeinflussen. Basp1-high-Zellen waren erforderlich für Metastasierungsseeding.</w:t>
      </w:r>
    </w:p>
    <w:p>
      <w:r>
        <w:rPr>
          <w:b/>
          <w:sz w:val="19"/>
        </w:rPr>
        <w:t xml:space="preserve">Übertragbarkeit: </w:t>
      </w:r>
      <w:r>
        <w:rPr>
          <w:sz w:val="19"/>
        </w:rPr>
        <w:t>USA-Daten, Grundlagenarbeit; therapeutisches Ansatzpotential (Keramid-Inhibition) für klinische Translation.</w:t>
      </w:r>
    </w:p>
    <w:p>
      <w:r>
        <w:rPr>
          <w:color w:val="5A7D3A"/>
          <w:sz w:val="18"/>
        </w:rPr>
        <w:t>https://pubmed.ncbi.nlm.nih.gov/42784694/</w:t>
      </w:r>
    </w:p>
    <w:p>
      <w:pPr>
        <w:pStyle w:val="Heading2"/>
      </w:pPr>
      <w:r>
        <w:t>IDH-mutantes Gliom: Hirngeometrie und Hypoxie strukturieren Tumororganisation</w:t>
      </w:r>
    </w:p>
    <w:p>
      <w:r>
        <w:rPr>
          <w:i/>
          <w:color w:val="666666"/>
          <w:sz w:val="18"/>
        </w:rPr>
        <w:t>Hoefflin R et al.  ·  Cancer Cell  ·  14.09.2026  ·  PMID 42735681</w:t>
      </w:r>
    </w:p>
    <w:p>
      <w:r>
        <w:t>Räumlich-translationale Studie kombiniert Einzelzell-Proteomik und räumliche Transkriptomik bei IDH-mutierten Gliomen über alle Tumorgrade hinweg, um organisatorische Prinzipien von Tumorprogression zu identifizieren.</w:t>
      </w:r>
    </w:p>
    <w:p>
      <w:r>
        <w:rPr>
          <w:b/>
        </w:rPr>
        <w:t xml:space="preserve">Ergebnis: </w:t>
      </w:r>
      <w:r>
        <w:t>Frühe Tumore: anatomisch-getriebene Organisation an weiß-grauer Substanzgrenze, Oligodendrozyten-Vorläufer (OPC)-ähnliche Zellen preferenziell dort selektioniert. Intermediate Tumore: Desorganisation mit wenigen Zell-Wechselwirkungen. Hochtgradige: Hypoxie-assoziierte Struktur ähnlich IDH-Wildtyp-Glioblastom. Zwei unabhängige räumliche Organisationsachsen.</w:t>
      </w:r>
    </w:p>
    <w:p>
      <w:r>
        <w:rPr>
          <w:b/>
          <w:sz w:val="19"/>
        </w:rPr>
        <w:t xml:space="preserve">Übertragbarkeit: </w:t>
      </w:r>
      <w:r>
        <w:rPr>
          <w:sz w:val="19"/>
        </w:rPr>
        <w:t>Europäisch-israelische Kooperation, Grundlagen für Zielpriorisierung bei Gliom-Therapie.</w:t>
      </w:r>
    </w:p>
    <w:p>
      <w:r>
        <w:rPr>
          <w:color w:val="5A7D3A"/>
          <w:sz w:val="18"/>
        </w:rPr>
        <w:t>https://pubmed.ncbi.nlm.nih.gov/42735681/</w:t>
      </w:r>
    </w:p>
    <w:p>
      <w:pPr>
        <w:pStyle w:val="Heading1"/>
      </w:pPr>
      <w:r>
        <w:t>Aufgenommen am 25.09.2026</w:t>
      </w:r>
    </w:p>
    <w:p>
      <w:pPr>
        <w:pStyle w:val="Heading2"/>
      </w:pPr>
      <w:r>
        <w:t>Adaptive Hoffnung in der Onkologie – Klinischer Rahmen für patientenzentrierte Kommunikation</w:t>
      </w:r>
    </w:p>
    <w:p>
      <w:r>
        <w:rPr>
          <w:i/>
          <w:color w:val="666666"/>
          <w:sz w:val="18"/>
        </w:rPr>
        <w:t>Cherny NI et al.  ·  ESMO Open  ·  24.07.2026  ·  PMID 42785913</w:t>
      </w:r>
    </w:p>
    <w:p>
      <w:r>
        <w:t>Narrative Übersichtsarbeit (Synthesis empirischer und konzeptioneller Literatur): Hope und Despair als zentrale, oft ko-existierende Dimensionen der Krebserfahrung – ihre Determinanten, klinischen Manifestationen und Implikationen für Kommunikation und Entscheidungsfindung über die Krankheitstrajectory.</w:t>
      </w:r>
    </w:p>
    <w:p>
      <w:r>
        <w:rPr>
          <w:b/>
        </w:rPr>
        <w:t xml:space="preserve">Ergebnis: </w:t>
      </w:r>
      <w:r>
        <w:t>Hoffnung ist dynamisches, multidimensionales Konstrukt, das sich über Zeit evolves – initial auf Heilung ausgerichtet, rekalibriert oft zu erreichbaren Zielen (Symptomkontrolle, Funktion, Sinnstiftung, Würde, spiritueller Frieden). Adaptive, realitätskongruente Hoffnung durch ehrliche, mitfühlende, relational fundierte Kommunikation nachhaltig. Klinische Competency: Psychospiritual-, Relational-, interdisziplinäre Approaches (empathische Kommunikation, Symptommanagement, Meaning-Centered Interventions, Dignity-Conserving Care).</w:t>
      </w:r>
    </w:p>
    <w:p>
      <w:r>
        <w:rPr>
          <w:b/>
          <w:sz w:val="19"/>
        </w:rPr>
        <w:t xml:space="preserve">Übertragbarkeit: </w:t>
      </w:r>
      <w:r>
        <w:rPr>
          <w:sz w:val="19"/>
        </w:rPr>
        <w:t>Internationale Expert-Synthesis, direkt auf deutsches Gesundheitssystem übertragbar.</w:t>
      </w:r>
    </w:p>
    <w:p>
      <w:r>
        <w:rPr>
          <w:color w:val="5A7D3A"/>
          <w:sz w:val="18"/>
        </w:rPr>
        <w:t>https://pubmed.ncbi.nlm.nih.gov/42785913/</w:t>
      </w:r>
    </w:p>
    <w:p>
      <w:pPr>
        <w:pStyle w:val="Heading2"/>
      </w:pPr>
      <w:r>
        <w:t>Trastuzumab emtansine bei HER2+ extramammärer Paget-Erkrankung – 92,9% Ansprechrate</w:t>
      </w:r>
    </w:p>
    <w:p>
      <w:r>
        <w:rPr>
          <w:i/>
          <w:color w:val="666666"/>
          <w:sz w:val="18"/>
        </w:rPr>
        <w:t>Arakawa S et al.  ·  ESMO Open  ·  21.07.2026  ·  PMID 42785912</w:t>
      </w:r>
    </w:p>
    <w:p>
      <w:r>
        <w:t>Phase-II-Studie TEMENOS-2: 14 japanische Patienten mit HER2-positivem metastasiertem Paget-Karzinom (extramammär), Firstline Trastuzumab emtansine 3,6 mg/kg alle 3 Wochen bis 2 Jahre.</w:t>
      </w:r>
    </w:p>
    <w:p>
      <w:r>
        <w:rPr>
          <w:b/>
        </w:rPr>
        <w:t xml:space="preserve">Ergebnis: </w:t>
      </w:r>
      <w:r>
        <w:t>Objektive Ansprechquote (zentrale Bewertung) 92,9% [95% CI 66,1%–99,8%]: 2 komplette, 11 partielle Remissionen, 1 Progression. Median-PFS 16,95 Monate [95% CI 5,75–n.e.]. Median-OS nicht erreicht. Grade-3-Nebenwirkungen in 42,9%, keine ≥4. Erste prospektive Evidenz für HER2-dirigierte ADC in dieser Entität.</w:t>
      </w:r>
    </w:p>
    <w:p>
      <w:r>
        <w:rPr>
          <w:b/>
          <w:sz w:val="19"/>
        </w:rPr>
        <w:t xml:space="preserve">Übertragbarkeit: </w:t>
      </w:r>
      <w:r>
        <w:rPr>
          <w:sz w:val="19"/>
        </w:rPr>
        <w:t>Japanische Studie, kleine Fallzahl (n=14); für Deutschland Übertragbarkeit HER2+ seltene Tumoren.</w:t>
      </w:r>
    </w:p>
    <w:p>
      <w:r>
        <w:rPr>
          <w:color w:val="5A7D3A"/>
          <w:sz w:val="18"/>
        </w:rPr>
        <w:t>https://pubmed.ncbi.nlm.nih.gov/42785912/</w:t>
      </w:r>
    </w:p>
    <w:p>
      <w:pPr>
        <w:pStyle w:val="Heading2"/>
      </w:pPr>
      <w:r>
        <w:t>Atezolizumab plus pertuzumab, trastuzumab, Chemotherapie – kein Vorteil für Gesamtüberleben</w:t>
      </w:r>
    </w:p>
    <w:p>
      <w:r>
        <w:rPr>
          <w:i/>
          <w:color w:val="666666"/>
          <w:sz w:val="18"/>
        </w:rPr>
        <w:t>Huober J et al.  ·  ESMO Open  ·  24.09.2026  ·  PMID 42785163</w:t>
      </w:r>
    </w:p>
    <w:p>
      <w:r>
        <w:t>Phase-III-Studie (IMpassion050): Neoadjuvante Atezolizumab-Addition zur Standard-Therapie bei HER2-positivem Frühbrustkrebs hohen Risikos – Intention-to-treat und PD-L1-positive Kohorte.</w:t>
      </w:r>
    </w:p>
    <w:p>
      <w:r>
        <w:rPr>
          <w:b/>
        </w:rPr>
        <w:t xml:space="preserve">Ergebnis: </w:t>
      </w:r>
      <w:r>
        <w:t>3-Jahres-Event-Free-Survival 91,4% (Atezolizumab) vs 89,0% (Placebo); Hazard Ratio 0,90 [95% CI 0,50–1,59]; 3-Jahres-Disease-Free-Survival 92,9% vs 88,5% (HR 0,71 [95% CI 0,38–1,32]). Keine signifikanten Unterschiede. Immuntherapie-assoziierte unerwünschte Ereignisse häufiger (59,4% vs 47,0%).</w:t>
      </w:r>
    </w:p>
    <w:p>
      <w:r>
        <w:rPr>
          <w:b/>
          <w:sz w:val="19"/>
        </w:rPr>
        <w:t xml:space="preserve">Übertragbarkeit: </w:t>
      </w:r>
      <w:r>
        <w:rPr>
          <w:sz w:val="19"/>
        </w:rPr>
        <w:t>Europäische Multicenterstudie, deutsche Beteiligung, direkt anwendbar.</w:t>
      </w:r>
    </w:p>
    <w:p>
      <w:r>
        <w:rPr>
          <w:color w:val="5A7D3A"/>
          <w:sz w:val="18"/>
        </w:rPr>
        <w:t>https://pubmed.ncbi.nlm.nih.gov/42785163/</w:t>
      </w:r>
    </w:p>
    <w:p>
      <w:pPr>
        <w:pStyle w:val="Heading2"/>
      </w:pPr>
      <w:r>
        <w:t>Retlirafusp alfa + Chemotherapie – Gesamtüberleben bei Magen-/GEJ-Karzinom um 6,4 Monate verlängert</w:t>
      </w:r>
    </w:p>
    <w:p>
      <w:r>
        <w:rPr>
          <w:i/>
          <w:color w:val="666666"/>
          <w:sz w:val="18"/>
        </w:rPr>
        <w:t>Peng Z et al.  ·  J Clin Oncol  ·  24.09.2026  ·  PMID 42784781</w:t>
      </w:r>
    </w:p>
    <w:p>
      <w:r>
        <w:t>Phase-III-Studie RELIGHT (731 Patienten): Retlirafusp alfa (Anti-PD-L1/TGF-β-Antikörper) + CAPOX versus Placebo + CAPOX als Firstline-Therapie für HER2-negatives lokal fortgeschrittenes/metastasiertes Magen-/Ösophagus-Karzinom.</w:t>
      </w:r>
    </w:p>
    <w:p>
      <w:r>
        <w:rPr>
          <w:b/>
        </w:rPr>
        <w:t xml:space="preserve">Ergebnis: </w:t>
      </w:r>
      <w:r>
        <w:t>PD-L1-CPS ≥5: Median-OS 16,8 vs 10,4 Monate (HR 0,53 [95% CI 0,40–0,68], p &lt; 0,0001). ITT-Analyse: 15,8 vs 11,2 Monate (HR 0,66 [95% CI 0,53–0,81], p &lt; 0,0001). Median-PFS 7,6 vs 5,5 Monate (HR 0,52). Toxizität vergleichbar (Grade ≥3: 62,6% vs 59,0%).</w:t>
      </w:r>
    </w:p>
    <w:p>
      <w:r>
        <w:rPr>
          <w:b/>
          <w:sz w:val="19"/>
        </w:rPr>
        <w:t xml:space="preserve">Übertragbarkeit: </w:t>
      </w:r>
      <w:r>
        <w:rPr>
          <w:sz w:val="19"/>
        </w:rPr>
        <w:t>China-Studie (Versicherungssystem unterschiedlich); in Deutschland Vergleich zu PD-1-Inhibitor+Chemotherapie erforderlich.</w:t>
      </w:r>
    </w:p>
    <w:p>
      <w:r>
        <w:rPr>
          <w:color w:val="5A7D3A"/>
          <w:sz w:val="18"/>
        </w:rPr>
        <w:t>https://pubmed.ncbi.nlm.nih.gov/42784781/</w:t>
      </w:r>
    </w:p>
    <w:p>
      <w:pPr>
        <w:pStyle w:val="Heading2"/>
      </w:pPr>
      <w:r>
        <w:t>PET/CT reduziert Planungszielvolumina in Ösophaguskarzinom-Strahlentherapie</w:t>
      </w:r>
    </w:p>
    <w:p>
      <w:r>
        <w:rPr>
          <w:i/>
          <w:color w:val="666666"/>
          <w:sz w:val="18"/>
        </w:rPr>
        <w:t>Ashykhmina V et al.  ·  Strahlenther Onkol  ·  24.09.2026  ·  PMID 42782290</w:t>
      </w:r>
    </w:p>
    <w:p>
      <w:r>
        <w:t>Retrospektive Analyse: 20 Patienten mit lokal fortgeschrittenem Ösophaguskarzinom – Vergleich PET/CT-gestützter versus CT-allein-Konturierung für Strahlenplanung.</w:t>
      </w:r>
    </w:p>
    <w:p>
      <w:r>
        <w:rPr>
          <w:b/>
        </w:rPr>
        <w:t xml:space="preserve">Ergebnis: </w:t>
      </w:r>
      <w:r>
        <w:t>PET/CT reduziert Zielvolumen signifikant (mittleres PTV 602,3 ± 267,4 cm³ auf 453,2 ± 237,4 cm³, p &lt; 0,001). Lungen-V20 sank von 10,39 ± 1,23% auf 7,85 ± 1,18% (p = 0,001). Geometrische Unterschiede &gt;100 cm³ in 20% der Fälle. Interobserver-Variabilität beim PET/CT-Targeting niedriger.</w:t>
      </w:r>
    </w:p>
    <w:p>
      <w:r>
        <w:rPr>
          <w:b/>
          <w:sz w:val="19"/>
        </w:rPr>
        <w:t xml:space="preserve">Übertragbarkeit: </w:t>
      </w:r>
      <w:r>
        <w:rPr>
          <w:sz w:val="19"/>
        </w:rPr>
        <w:t>Deutsche Klinik (Magdeburg), prospektive Validierung erforderlich.</w:t>
      </w:r>
    </w:p>
    <w:p>
      <w:r>
        <w:rPr>
          <w:color w:val="5A7D3A"/>
          <w:sz w:val="18"/>
        </w:rPr>
        <w:t>https://pubmed.ncbi.nlm.nih.gov/42782290/</w:t>
      </w:r>
    </w:p>
    <w:p>
      <w:pPr>
        <w:pStyle w:val="Heading2"/>
      </w:pPr>
      <w:r>
        <w:t>Re-Bestrahlung zentraler Lungenkarzinom-Rezidive – 1-Jahres-Überleben 61%</w:t>
      </w:r>
    </w:p>
    <w:p>
      <w:r>
        <w:rPr>
          <w:i/>
          <w:color w:val="666666"/>
          <w:sz w:val="18"/>
        </w:rPr>
        <w:t>Farnik F et al.  ·  Strahlenther Onkol  ·  24.09.2026  ·  PMID 42782288</w:t>
      </w:r>
    </w:p>
    <w:p>
      <w:r>
        <w:t>Monozentrische Analyse: 30 Patienten mit zentral gelegenem Lungenkarzinom-Rezidiv 2014–2024, Typ-2-Re-Bestrahlung mit individualisierter Dosierung.</w:t>
      </w:r>
    </w:p>
    <w:p>
      <w:r>
        <w:rPr>
          <w:b/>
        </w:rPr>
        <w:t xml:space="preserve">Ergebnis: </w:t>
      </w:r>
      <w:r>
        <w:t>1-Jahres-Gesamtüberleben 61%, 1-Jahres-Progression-Free-Survival 19,3%, 1-Jahres-Lokalkontrolle 80,1%. Mediane EQD2 49,5 Gy. Nur ein Fall Grade-3-Spätkomplikation (Ösophagusstenose), gute Verträglichkeit. Alter &gt;65 Jahre einziger unabhängiger Prognosefaktor für besseres PFS.</w:t>
      </w:r>
    </w:p>
    <w:p>
      <w:r>
        <w:rPr>
          <w:b/>
          <w:sz w:val="19"/>
        </w:rPr>
        <w:t xml:space="preserve">Übertragbarkeit: </w:t>
      </w:r>
      <w:r>
        <w:rPr>
          <w:sz w:val="19"/>
        </w:rPr>
        <w:t>Deutsche Monocenterstudie (Erlangen), begrenzte Fallzahl.</w:t>
      </w:r>
    </w:p>
    <w:p>
      <w:r>
        <w:rPr>
          <w:color w:val="5A7D3A"/>
          <w:sz w:val="18"/>
        </w:rPr>
        <w:t>https://pubmed.ncbi.nlm.nih.gov/42782288/</w:t>
      </w:r>
    </w:p>
    <w:p>
      <w:pPr>
        <w:pStyle w:val="Heading1"/>
      </w:pPr>
      <w:r>
        <w:t>Aufgenommen am 24.09.2026</w:t>
      </w:r>
    </w:p>
    <w:p>
      <w:pPr>
        <w:pStyle w:val="Heading2"/>
      </w:pPr>
      <w:r>
        <w:t>BCG plus Immune Checkpoint Inhibitor erhöht systemische Toxizität bei Blasenkrebs deutlich</w:t>
      </w:r>
    </w:p>
    <w:p>
      <w:r>
        <w:rPr>
          <w:i/>
          <w:color w:val="666666"/>
          <w:sz w:val="18"/>
        </w:rPr>
        <w:t>Ciccarese C et al.  ·  ESMO Open  ·  23.09.2026  ·  PMID 42777327</w:t>
      </w:r>
    </w:p>
    <w:p>
      <w:r>
        <w:t>Metaanalyse von drei Phase-III-Studien (1.895 Patienten) zur Sicherheit intravesikaler BCG-Immunchemotherapie gegenüber BCG allein bei nicht-muskelinvasivem Harnblasenkarzinom.</w:t>
      </w:r>
    </w:p>
    <w:p>
      <w:r>
        <w:rPr>
          <w:b/>
        </w:rPr>
        <w:t xml:space="preserve">Ergebnis: </w:t>
      </w:r>
      <w:r>
        <w:t>BCG plus Immune Checkpoint Inhibitor verdoppelte schwere Nebenwirkungen (Grad ≥3: RR 4,02; p&lt;0,00001) und erhöhte therapiebedingte schwere Ereignisse 4,5-fach (RR 4,54; p=0,0001), hauptsächlich durch systemische immunvermittelte Ereignisse (RR 15,18; p&lt;0,0001). Lokale Blasensymptome ähnlich zwischen Gruppen.</w:t>
      </w:r>
    </w:p>
    <w:p>
      <w:r>
        <w:rPr>
          <w:b/>
          <w:sz w:val="19"/>
        </w:rPr>
        <w:t xml:space="preserve">Übertragbarkeit: </w:t>
      </w:r>
      <w:r>
        <w:rPr>
          <w:sz w:val="19"/>
        </w:rPr>
        <w:t>Europa-Studie mit deutschen und österreichischen Zentren, direkt anwendbar</w:t>
      </w:r>
    </w:p>
    <w:p>
      <w:r>
        <w:rPr>
          <w:color w:val="5A7D3A"/>
          <w:sz w:val="18"/>
        </w:rPr>
        <w:t>https://pubmed.ncbi.nlm.nih.gov/42777327/</w:t>
      </w:r>
    </w:p>
    <w:p>
      <w:pPr>
        <w:pStyle w:val="Heading2"/>
      </w:pPr>
      <w:r>
        <w:t>FLOT plus Nivolumab bei Magenkrebse: Monocyten-Lymphozyten-Ratio identifiziert Profiteure</w:t>
      </w:r>
    </w:p>
    <w:p>
      <w:r>
        <w:rPr>
          <w:i/>
          <w:color w:val="666666"/>
          <w:sz w:val="18"/>
        </w:rPr>
        <w:t>Masetti M et al.  ·  Eur J Cancer  ·  10.09.2026  ·  PMID 42777290</w:t>
      </w:r>
    </w:p>
    <w:p>
      <w:r>
        <w:t>Extended Follow-up einer deutschen Multizenterstudie (Arm C: 52 Patienten mit mCRPC) zu FLOT-Chemotherapie plus Nivolumab mit Biomarker-Stratifizierung für Magenkarzinom.</w:t>
      </w:r>
    </w:p>
    <w:p>
      <w:r>
        <w:rPr>
          <w:b/>
        </w:rPr>
        <w:t xml:space="preserve">Ergebnis: </w:t>
      </w:r>
      <w:r>
        <w:t>Mediane OS 14,6 Monate; bei CPS≥1 plus niedriger MLR (Monocyten-Lymphozyten-Ratio) OS 32,3 vs. 7,4 Monate (p=0,044). NLR und MLR korrelierten mit Überleben; Schmerz verbesserte sich, Müdigkeit und körperliche Funktionsfähigkeit verschlechterten sich.</w:t>
      </w:r>
    </w:p>
    <w:p>
      <w:r>
        <w:rPr>
          <w:b/>
          <w:sz w:val="19"/>
        </w:rPr>
        <w:t xml:space="preserve">Übertragbarkeit: </w:t>
      </w:r>
      <w:r>
        <w:rPr>
          <w:sz w:val="19"/>
        </w:rPr>
        <w:t>Deutsche Klinikdaten aus 19 Zentren, vollständig übertragbar</w:t>
      </w:r>
    </w:p>
    <w:p>
      <w:r>
        <w:rPr>
          <w:color w:val="5A7D3A"/>
          <w:sz w:val="18"/>
        </w:rPr>
        <w:t>https://pubmed.ncbi.nlm.nih.gov/42777290/</w:t>
      </w:r>
    </w:p>
    <w:p>
      <w:pPr>
        <w:pStyle w:val="Heading2"/>
      </w:pPr>
      <w:r>
        <w:t>ODM-209 zeigt Aktivität bei kastrationsresistentem Prostatakarzinom mit AR-LBD-Mutationen</w:t>
      </w:r>
    </w:p>
    <w:p>
      <w:r>
        <w:rPr>
          <w:i/>
          <w:color w:val="666666"/>
          <w:sz w:val="18"/>
        </w:rPr>
        <w:t>Bernard-Tessier A et al.  ·  Eur J Cancer  ·  12.09.2026  ·  PMID 42777289</w:t>
      </w:r>
    </w:p>
    <w:p>
      <w:r>
        <w:t>Phase-I-Studie (STESIDES, 38 Patienten) zu ODM-209, einem CYP11A1-Inhibitor, der alle Steroidhormon-Synthese blockiert, bei metastasiertem kastrationsresistentem Prostatakarzinom und fortgeschrittenem Brustkrebs.</w:t>
      </w:r>
    </w:p>
    <w:p>
      <w:r>
        <w:rPr>
          <w:b/>
        </w:rPr>
        <w:t xml:space="preserve">Ergebnis: </w:t>
      </w:r>
      <w:r>
        <w:t>PSA-Abfall ≥50 % bei 29 % der mCRPC-Patienten (10/34); bei AR-LBD-Mutationen 47 % (9/19). Partielle klinische Remission bei 19 % (3/16). Häufigste Nebenwirkungen: Müdigkeit (53 %), periphere Ödeme (34 %); 8 % erlebten schwere Nebenwirkungen, 3 Fälle ernsthafte Nebenniereninsuffizienz (eine davon DLT).</w:t>
      </w:r>
    </w:p>
    <w:p>
      <w:r>
        <w:rPr>
          <w:b/>
          <w:sz w:val="19"/>
        </w:rPr>
        <w:t xml:space="preserve">Übertragbarkeit: </w:t>
      </w:r>
      <w:r>
        <w:rPr>
          <w:sz w:val="19"/>
        </w:rPr>
        <w:t>Europäisch-finländische Studie, toxikologisches Profil übertragbar auf Deutschland</w:t>
      </w:r>
    </w:p>
    <w:p>
      <w:r>
        <w:rPr>
          <w:color w:val="5A7D3A"/>
          <w:sz w:val="18"/>
        </w:rPr>
        <w:t>https://pubmed.ncbi.nlm.nih.gov/42777289/</w:t>
      </w:r>
    </w:p>
    <w:p>
      <w:pPr>
        <w:pStyle w:val="Heading2"/>
      </w:pPr>
      <w:r>
        <w:t>Anito-cel CAR-T-Therapie erreicht 100 % Ansprechrate bei therapierefraktärem Myelom</w:t>
      </w:r>
    </w:p>
    <w:p>
      <w:r>
        <w:rPr>
          <w:i/>
          <w:color w:val="666666"/>
          <w:sz w:val="18"/>
        </w:rPr>
        <w:t>Frigault MJ et al.  ·  N Engl J Med  ·  24.09.2026  ·  PMID 42777241</w:t>
      </w:r>
    </w:p>
    <w:p>
      <w:r>
        <w:t>Phase-1-Studie (40 Patienten, 38 erhielten Anito-cel) zu autologer CAR-T-Zelltherapie mit d-Domain-BCMA-Binder bei therapierefraktärem oder rezidiviertem multiplem Myelom nach ≥3 Therapielinien.</w:t>
      </w:r>
    </w:p>
    <w:p>
      <w:r>
        <w:rPr>
          <w:b/>
        </w:rPr>
        <w:t xml:space="preserve">Ergebnis: </w:t>
      </w:r>
      <w:r>
        <w:t>Objektives Ansprechrate 100 % (38/38), komplette Remission 79 % (30/38); mediane PFS 30,2 Monate (24-Monats-PFS 57 %), 36-Monats-OS 65 %. CRS Grad 1–2 bei 94 % (beim empfohlenen Dosis-Level), kein Grad-≥3-CRS. ICANS Grad 1–2 bei 16 %, Grad 3 bei 3 % (1 Patient). Keine Neurotoxizität oder Off-Target-Effekte.</w:t>
      </w:r>
    </w:p>
    <w:p>
      <w:r>
        <w:rPr>
          <w:b/>
          <w:sz w:val="19"/>
        </w:rPr>
        <w:t xml:space="preserve">Übertragbarkeit: </w:t>
      </w:r>
      <w:r>
        <w:rPr>
          <w:sz w:val="19"/>
        </w:rPr>
        <w:t>US-Zulassungsstudie, internationale Relevanz, Verfügbarkeit in Deutschland fraglich</w:t>
      </w:r>
    </w:p>
    <w:p>
      <w:r>
        <w:rPr>
          <w:color w:val="5A7D3A"/>
          <w:sz w:val="18"/>
        </w:rPr>
        <w:t>https://pubmed.ncbi.nlm.nih.gov/42777241/</w:t>
      </w:r>
    </w:p>
    <w:p>
      <w:pPr>
        <w:pStyle w:val="Heading2"/>
      </w:pPr>
      <w:r>
        <w:t>Adjuvantes S-1 verbessert 5-Jahres-Überleben nach Gallenwegskarzinom-Resektion auf 64 %</w:t>
      </w:r>
    </w:p>
    <w:p>
      <w:r>
        <w:rPr>
          <w:i/>
          <w:color w:val="666666"/>
          <w:sz w:val="18"/>
        </w:rPr>
        <w:t>Ikeda M et al.  ·  J Clin Oncol  ·  23.09.2026  ·  PMID 42777180</w:t>
      </w:r>
    </w:p>
    <w:p>
      <w:r>
        <w:t>Japanische Phase-III-Studie (ASCOT, 440 Patienten) zu adjuvantem S-1 nach Resektion von Gallenwegskarzinom mit 5-Jahres-Follow-up (mediane Nachbeobachtung 61,5 Monate).</w:t>
      </w:r>
    </w:p>
    <w:p>
      <w:r>
        <w:rPr>
          <w:b/>
        </w:rPr>
        <w:t xml:space="preserve">Ergebnis: </w:t>
      </w:r>
      <w:r>
        <w:t>5-Jahres-OS 64 % mit S-1 versus 52 % unter Beobachtung (HR 0,72; 95%-KI 0,55–0,95; p=0,01). Mediane OS 8,2 versus 5,9 Jahre. Mediane RFS 3,5 (S-1) versus 6,1 Jahre (Beobachtung). Behandlungseffekt über Subgruppen konsistent.</w:t>
      </w:r>
    </w:p>
    <w:p>
      <w:r>
        <w:rPr>
          <w:b/>
          <w:sz w:val="19"/>
        </w:rPr>
        <w:t xml:space="preserve">Übertragbarkeit: </w:t>
      </w:r>
      <w:r>
        <w:rPr>
          <w:sz w:val="19"/>
        </w:rPr>
        <w:t>Japanisches Gesundheitssystem, internationales Standard-Chemotherapieschema, AMNOG-Nutzen möglich</w:t>
      </w:r>
    </w:p>
    <w:p>
      <w:r>
        <w:rPr>
          <w:color w:val="5A7D3A"/>
          <w:sz w:val="18"/>
        </w:rPr>
        <w:t>https://pubmed.ncbi.nlm.nih.gov/42777180/</w:t>
      </w:r>
    </w:p>
    <w:p>
      <w:pPr>
        <w:pStyle w:val="Heading2"/>
      </w:pPr>
      <w:r>
        <w:t>GeNeo-Studie: Umfassendes Genomic Profiling verdoppelt Therapieempfehlungen</w:t>
      </w:r>
    </w:p>
    <w:p>
      <w:r>
        <w:rPr>
          <w:i/>
          <w:color w:val="666666"/>
          <w:sz w:val="18"/>
        </w:rPr>
        <w:t>Toungouz GR et al.  ·  Eur J Cancer  ·  03.06.2026  ·  PMID 42773586</w:t>
      </w:r>
    </w:p>
    <w:p>
      <w:r>
        <w:t>Belgische Studie an 1.000 metastasierten oder lokal fortgeschrittenen Krebspatienten, Vergleich umfassendes Genomic Profiling (CGP) versus beschränkte lokale NGS-Panels im Rahmen der belgischen Präzisionsmedizin-Initiative.</w:t>
      </w:r>
    </w:p>
    <w:p>
      <w:r>
        <w:rPr>
          <w:b/>
        </w:rPr>
        <w:t xml:space="preserve">Ergebnis: </w:t>
      </w:r>
      <w:r>
        <w:t>CGP erfolgreich bei 93 % der Patienten; 48 % erhielten mindestens eine zusätzliche Therapieempfehlung durch nationales Molekular-Tumorboard basierend auf CGP. 61 % aller Patienten erhielten CGP-basierte Empfehlungen; 23 % davon erhalten die empfohlene Therapie (Blockage: Nichtverfügbarkeit 25 %, klinische Verschlechterung 24 %, Patientenwahl 17 %).</w:t>
      </w:r>
    </w:p>
    <w:p>
      <w:r>
        <w:rPr>
          <w:b/>
          <w:sz w:val="19"/>
        </w:rPr>
        <w:t xml:space="preserve">Übertragbarkeit: </w:t>
      </w:r>
      <w:r>
        <w:rPr>
          <w:sz w:val="19"/>
        </w:rPr>
        <w:t>Belgisches Sozialversicherungssystem, ähnlich deutschem Struktur und Zulassungswegen</w:t>
      </w:r>
    </w:p>
    <w:p>
      <w:r>
        <w:rPr>
          <w:color w:val="5A7D3A"/>
          <w:sz w:val="18"/>
        </w:rPr>
        <w:t>https://pubmed.ncbi.nlm.nih.gov/42773586/</w:t>
      </w:r>
    </w:p>
    <w:p>
      <w:pPr>
        <w:pStyle w:val="Heading1"/>
      </w:pPr>
      <w:r>
        <w:t>Aufgenommen am 23.09.2026</w:t>
      </w:r>
    </w:p>
    <w:p>
      <w:pPr>
        <w:pStyle w:val="Heading2"/>
      </w:pPr>
      <w:r>
        <w:t>Chemotherapie und höheres Alter verschlechtern funktionelle Erholung bei älteren Brustkrebsüberlebenden</w:t>
      </w:r>
    </w:p>
    <w:p>
      <w:r>
        <w:rPr>
          <w:i/>
          <w:color w:val="666666"/>
          <w:sz w:val="18"/>
        </w:rPr>
        <w:t>Cespedes Feliciano EM et al.  ·  J Natl Cancer Inst  ·  23.09.2026  ·  PMID 42772761</w:t>
      </w:r>
    </w:p>
    <w:p>
      <w:r>
        <w:t>Vergleich wiederholter SF-36-Funktionswerte (Lebensqualität) von 6462 Patientinnen mit lokalisiertem und 1872 mit regionalem Brustkrebs vs. 37 196 krebsfreie altersgerechte Kontrollen über 15 Jahre aus der Women's Health Initiative.</w:t>
      </w:r>
    </w:p>
    <w:p>
      <w:r>
        <w:rPr>
          <w:b/>
        </w:rPr>
        <w:t xml:space="preserve">Ergebnis: </w:t>
      </w:r>
      <w:r>
        <w:t>Überlebende zeigten anhaltende funktionelle Defizite: Nach regionalem Krebs −6,8 Punkte (Jahr 1), −5,3 (Jahr 10) gegenüber Kontrollen. Chemotherapie verschärfte frühe Rückgänge (−7,1 Jahr 1). Frauen unter 70 Jahren zeigten bessere Erholung. Bessere Prediagnose-Lebensstiländerungen korrelierten mit größerer funktioneller Reserve und Erholungsfähigkeit.</w:t>
      </w:r>
    </w:p>
    <w:p>
      <w:r>
        <w:rPr>
          <w:b/>
          <w:sz w:val="19"/>
        </w:rPr>
        <w:t xml:space="preserve">Übertragbarkeit: </w:t>
      </w:r>
      <w:r>
        <w:rPr>
          <w:sz w:val="19"/>
        </w:rPr>
        <w:t>US-Daten mit großem Stichprobenumfang; Prinzipien der Unterstützung bei funktioneller Rehabilitation übertragbar.</w:t>
      </w:r>
    </w:p>
    <w:p>
      <w:r>
        <w:rPr>
          <w:color w:val="5A7D3A"/>
          <w:sz w:val="18"/>
        </w:rPr>
        <w:t>https://pubmed.ncbi.nlm.nih.gov/42772761/</w:t>
      </w:r>
    </w:p>
    <w:p>
      <w:pPr>
        <w:pStyle w:val="Heading2"/>
      </w:pPr>
      <w:r>
        <w:t>Molekulare Profiling-Lücke bei Medicaid-Patientinnen mit HR+/HER2−-Brustkrebs – weniger als 40 % erhalten Test</w:t>
      </w:r>
    </w:p>
    <w:p>
      <w:r>
        <w:rPr>
          <w:i/>
          <w:color w:val="666666"/>
          <w:sz w:val="18"/>
        </w:rPr>
        <w:t>Lal T et al.  ·  JCO Oncol Pract  ·  22.09.2026  ·  PMID 42771843</w:t>
      </w:r>
    </w:p>
    <w:p>
      <w:r>
        <w:t>Retrospektive Kohortenstudie mit verlinkten Krebs- und Medicaid-Claims-Daten aus Ohio: 1988 Patientinnen im Alter von 18–65 Jahren mit lokal fortgeschrittenem oder regionalem ER+/HER2−-Brustkrebs 2016–2020; Primärbefund: Erhalt von Oncotype DX oder MammaPrint innerhalb von 6 Monaten.</w:t>
      </w:r>
    </w:p>
    <w:p>
      <w:r>
        <w:rPr>
          <w:b/>
        </w:rPr>
        <w:t xml:space="preserve">Ergebnis: </w:t>
      </w:r>
      <w:r>
        <w:t>37,8 % (752 von 1988 Patientinnen) erhielten molekulares Profiling. Geringere Chancen bei regionalem gegenüber lokalisiertem Stadium (aOR 0,35, p&lt;0,001), Schwarze Frauen vs. Weiße (aOR 0,72), Einkommen über Armutsgrenze (aOR 0,73) und Medicaid-Langzeitpflege-Einschreiber (aOR 0,47). Verheiratet mit höherem Profiling (aOR 1,30).</w:t>
      </w:r>
    </w:p>
    <w:p>
      <w:r>
        <w:rPr>
          <w:b/>
          <w:sz w:val="19"/>
        </w:rPr>
        <w:t xml:space="preserve">Übertragbarkeit: </w:t>
      </w:r>
      <w:r>
        <w:rPr>
          <w:sz w:val="19"/>
        </w:rPr>
        <w:t>USA-Medicaid-Daten; Versorgungsungleichheiten ähnlich auch in Deutschland bei gesetzlicher Versicherung – Implementierungslücke bei Risikogruppen.</w:t>
      </w:r>
    </w:p>
    <w:p>
      <w:r>
        <w:rPr>
          <w:color w:val="5A7D3A"/>
          <w:sz w:val="18"/>
        </w:rPr>
        <w:t>https://pubmed.ncbi.nlm.nih.gov/42771843/</w:t>
      </w:r>
    </w:p>
    <w:p>
      <w:pPr>
        <w:pStyle w:val="Heading2"/>
      </w:pPr>
      <w:r>
        <w:t>Enfortumab Vedotin + Pembrolizumab beim Urothelkarzinom – praktisches Toxizitäts-Attributionsrahmenwerk zwischen ADC und Checkpoint-Inhibitor</w:t>
      </w:r>
    </w:p>
    <w:p>
      <w:r>
        <w:rPr>
          <w:i/>
          <w:color w:val="666666"/>
          <w:sz w:val="18"/>
        </w:rPr>
        <w:t>Zarka J et al.  ·  Oncologist  ·  21.09.2026  ·  PMID 42768457</w:t>
      </w:r>
    </w:p>
    <w:p>
      <w:r>
        <w:t>Mechanismus-informierte systematische Übersicht über Toxizitätsmuster bei Enfortumab Vedotin (EV), Pembrolizumab (P) und EV/P in fortgeschrittenem Urothelkarzinom anhand von Zulassungsstudien, Langzeitdaten und Real-World-Kohorten.</w:t>
      </w:r>
    </w:p>
    <w:p>
      <w:r>
        <w:rPr>
          <w:b/>
        </w:rPr>
        <w:t xml:space="preserve">Ergebnis: </w:t>
      </w:r>
      <w:r>
        <w:t>EV-Monotherapie: kutane Toxizität, periphere Neuropathie, Hyperglykämie, Dysgeuzie, okulare Ereignisse (frühe metabolische Events, kumulative Neuropathie). Pembrolizumab: niedrigere Hochgrad-Toxizität, aber Immune-Checkpoint-induzierte Endokrinopathien, Pneumonitis, Hepatitis, Kolitis, Nephritis. Kombination EV/P: vorhersehbare Überlappung dieser Toxizitätsdomänen; praktisches Attributionsrahmenwerk (EV-dominant, Immune-dominant, Überlappung, hohes Risiko mit Therapieunterbrechung).</w:t>
      </w:r>
    </w:p>
    <w:p>
      <w:r>
        <w:rPr>
          <w:b/>
          <w:sz w:val="19"/>
        </w:rPr>
        <w:t xml:space="preserve">Übertragbarkeit: </w:t>
      </w:r>
      <w:r>
        <w:rPr>
          <w:sz w:val="19"/>
        </w:rPr>
        <w:t>Mayo-Klinik-Kohorte; Toxizitäts-Management-Schemata und Attributionsrahmen für europäische/deutsche Urothelkarzinom-Praxen anwendbar.</w:t>
      </w:r>
    </w:p>
    <w:p>
      <w:r>
        <w:rPr>
          <w:color w:val="5A7D3A"/>
          <w:sz w:val="18"/>
        </w:rPr>
        <w:t>https://pubmed.ncbi.nlm.nih.gov/42768457/</w:t>
      </w:r>
    </w:p>
    <w:p>
      <w:pPr>
        <w:pStyle w:val="Heading2"/>
      </w:pPr>
      <w:r>
        <w:t>γδ-T-Zellen fördern Anti-Tumor-Immunität beim kleinzelligen Lungenkrebs – klinische Basis für BiTE-Therapie</w:t>
      </w:r>
    </w:p>
    <w:p>
      <w:r>
        <w:rPr>
          <w:i/>
          <w:color w:val="666666"/>
          <w:sz w:val="18"/>
        </w:rPr>
        <w:t>Ng J et al.  ·  Cancer Cell  ·  18.09.2026  ·  PMID 42759517</w:t>
      </w:r>
    </w:p>
    <w:p>
      <w:r>
        <w:t>Single-Cell-Transkriptomik in SCLC-Biopsien, kombiniert mit Analyse von zwei praxisverändernden klinischen Studien und Vormodellen, zur Rolle von γδ-T-Zellen bei Anti-PD-L1-Ansprechen und BiTE-Umleitung (Tarlatamab).</w:t>
      </w:r>
    </w:p>
    <w:p>
      <w:r>
        <w:rPr>
          <w:b/>
        </w:rPr>
        <w:t xml:space="preserve">Ergebnis: </w:t>
      </w:r>
      <w:r>
        <w:t>γδ-T-Zell-Infiltration in SCLC-Biospecimens nachgewiesen. Trotz PD-1-Expression behielten γδ-T-Zellen zytotoxisches Transkriptionsprofil. Hohe γδ-T-Zell-Infiltration sagte verbessertes Ansprechen auf Anti-PD-L1 in zwei Studien voraus. Vormodelle zeigten γδ-T-Zellen wirksam bei Tarlatamab-umgeleiteter SCLC-Abtötung; Zoledronsäure sensibilisierte SCLC-Zellen für γδ-T-Zell-vermittelte Tötung.</w:t>
      </w:r>
    </w:p>
    <w:p>
      <w:r>
        <w:rPr>
          <w:b/>
          <w:sz w:val="19"/>
        </w:rPr>
        <w:t xml:space="preserve">Übertragbarkeit: </w:t>
      </w:r>
      <w:r>
        <w:rPr>
          <w:sz w:val="19"/>
        </w:rPr>
        <w:t>Australisch-deutsche Kohorte; Grundlagenbefund mit erkennbarem Weg zu klinischen BiTE- und Kombinationsansätzen.</w:t>
      </w:r>
    </w:p>
    <w:p>
      <w:r>
        <w:rPr>
          <w:color w:val="5A7D3A"/>
          <w:sz w:val="18"/>
        </w:rPr>
        <w:t>https://pubmed.ncbi.nlm.nih.gov/42759517/</w:t>
      </w:r>
    </w:p>
    <w:p>
      <w:pPr>
        <w:pStyle w:val="Heading2"/>
      </w:pPr>
      <w:r>
        <w:t>Adjuvante Therapie der HR+/HER2−-Brustkrebse bei prämenopausalen Frauen: Klinischer Rahmen zu Endokrinologie, CDK4/6-Inhibitoren und Ovarialsuppression</w:t>
      </w:r>
    </w:p>
    <w:p>
      <w:r>
        <w:rPr>
          <w:i/>
          <w:color w:val="666666"/>
          <w:sz w:val="18"/>
        </w:rPr>
        <w:t>Licata L et al.  ·  Ann Oncol  ·  17.09.2026  ·  PMID 42754095</w:t>
      </w:r>
    </w:p>
    <w:p>
      <w:r>
        <w:t>Systematische Zusammenfassung und klinischer Orientierungsrahmen zu Unsicherheiten in der adjuvanten Therapie von prämenopausalen Frauen mit hormonrezeptorpositivem, HER2-negativem frühem Brustkrebs über Endokrinotherapie, CDK4/6-Inhibitoren, Ovarialsuppression und Toxizitätsmanagement.</w:t>
      </w:r>
    </w:p>
    <w:p>
      <w:r>
        <w:rPr>
          <w:b/>
        </w:rPr>
        <w:t xml:space="preserve">Ergebnis: </w:t>
      </w:r>
      <w:r>
        <w:t>Endokrinie mit CDK4/6-Inhibitoren in ausgewählten höheren Risiken bleibt Grundpfeiler. Offene Fragen: optimale Ovarialsuppression, Interpretation genomischer Assays für Chemotherapieentscheidungen, Auswahl für verlängerte Endokrinotherapie, Adhärenz und Schwangerschaftsprobleme. Der Rahmen soll individualisierte Strategien für diese Population unterstützen.</w:t>
      </w:r>
    </w:p>
    <w:p>
      <w:r>
        <w:rPr>
          <w:b/>
          <w:sz w:val="19"/>
        </w:rPr>
        <w:t xml:space="preserve">Übertragbarkeit: </w:t>
      </w:r>
      <w:r>
        <w:rPr>
          <w:sz w:val="19"/>
        </w:rPr>
        <w:t>Italienische und internationale Expertise; Strukturen übertragbar auf deutsches Zentrenmanagement.</w:t>
      </w:r>
    </w:p>
    <w:p>
      <w:r>
        <w:rPr>
          <w:color w:val="5A7D3A"/>
          <w:sz w:val="18"/>
        </w:rPr>
        <w:t>https://pubmed.ncbi.nlm.nih.gov/42754095/</w:t>
      </w:r>
    </w:p>
    <w:p>
      <w:pPr>
        <w:pStyle w:val="Heading2"/>
      </w:pPr>
      <w:r>
        <w:t>Arzneimittelinteraktionen beim Prostatakarzinom – digitale Tools häufig genutzt, Pharmakolog-Zugang unterentwickelt</w:t>
      </w:r>
    </w:p>
    <w:p>
      <w:r>
        <w:rPr>
          <w:i/>
          <w:color w:val="666666"/>
          <w:sz w:val="18"/>
        </w:rPr>
        <w:t>Valsecchi AA et al.  ·  Oncologist  ·  09.09.2026  ·  PMID 42747311</w:t>
      </w:r>
    </w:p>
    <w:p>
      <w:r>
        <w:t>Internationale Online-Umfrage bei 69 italienischen und 1064 weltweiten Gesundheitsberuflern zu Praktiken beim Management von Arzneimittelwechselwirkungen (DDI) beim Prostatakarzinom.</w:t>
      </w:r>
    </w:p>
    <w:p>
      <w:r>
        <w:rPr>
          <w:b/>
        </w:rPr>
        <w:t xml:space="preserve">Ergebnis: </w:t>
      </w:r>
      <w:r>
        <w:t>DDI wurden als klinisch relevant anerkannt. Digitale Werkzeuge (Online-Datenbanken, Apps) am häufigsten; KI-Tools selten. Italienische Onkologen berichteten begrenzte Vor-Ort-Pharmacolog-Unterstützung (29 %), weltweit 76 %. Hauptbarrieren: Zeitdruck, unsichere Quellenzuverlässigkeit, Mangel an Schulung. Italienische Ärzte forderten mehr Pharmacolog-Zugang; globale Kohorten: institutionelle Schulung.</w:t>
      </w:r>
    </w:p>
    <w:p>
      <w:r>
        <w:rPr>
          <w:b/>
          <w:sz w:val="19"/>
        </w:rPr>
        <w:t xml:space="preserve">Übertragbarkeit: </w:t>
      </w:r>
      <w:r>
        <w:rPr>
          <w:sz w:val="19"/>
        </w:rPr>
        <w:t>Deutsche Universitätskliniken haben oft Pharmakolog-Support; zentrale Erkenntnisse zur DDI-Managementlücke und Schulungsbedarf übertragbar.</w:t>
      </w:r>
    </w:p>
    <w:p>
      <w:r>
        <w:rPr>
          <w:color w:val="5A7D3A"/>
          <w:sz w:val="18"/>
        </w:rPr>
        <w:t>https://pubmed.ncbi.nlm.nih.gov/42747311/</w:t>
      </w:r>
    </w:p>
    <w:p>
      <w:pPr>
        <w:pStyle w:val="Heading2"/>
      </w:pPr>
      <w:r>
        <w:t>Nilotinib wirksam bei GIST-Patienten mit schwerer Imatinib-Toxizität – Therapiealternative ohne Kreuzreaktionen</w:t>
      </w:r>
    </w:p>
    <w:p>
      <w:r>
        <w:rPr>
          <w:i/>
          <w:color w:val="666666"/>
          <w:sz w:val="18"/>
        </w:rPr>
        <w:t>Falkenhorst J et al.  ·  Oncologist  ·  09.09.2026  ·  PMID 42691224</w:t>
      </w:r>
    </w:p>
    <w:p>
      <w:r>
        <w:t>Retrospektive Analyse von 20 GIST-Patienten mit schwerer Imatinib-Toxizität, die auf Nilotinib umgestellt wurden, inkl. In-vitro-Testung an Zelllinien mit KIT-Mutationen.</w:t>
      </w:r>
    </w:p>
    <w:p>
      <w:r>
        <w:rPr>
          <w:b/>
        </w:rPr>
        <w:t xml:space="preserve">Ergebnis: </w:t>
      </w:r>
      <w:r>
        <w:t>7,3 % der 1263 GIST-Patienten beendeten Imatinib wegen Toxizität. In 20 Patienten mit Nilotinib-Therapie zeigten sich keine Kreuzreaktivitäten mit Imatinib: Bei KIT-Exon-11-Mutationen wirksam, bei Exon-9- oder imatinib-resistenten Mutationen nicht. Nilotinib ist damit eine wichtige Alternative für imatinib-sensitive GIST.</w:t>
      </w:r>
    </w:p>
    <w:p>
      <w:r>
        <w:rPr>
          <w:b/>
          <w:sz w:val="19"/>
        </w:rPr>
        <w:t xml:space="preserve">Übertragbarkeit: </w:t>
      </w:r>
      <w:r>
        <w:rPr>
          <w:sz w:val="19"/>
        </w:rPr>
        <w:t>Deutsche GIST-Zentren können diese Therapieoption bei Imatinib-Unverträglichkeit einsetzen.</w:t>
      </w:r>
    </w:p>
    <w:p>
      <w:r>
        <w:rPr>
          <w:color w:val="5A7D3A"/>
          <w:sz w:val="18"/>
        </w:rPr>
        <w:t>https://pubmed.ncbi.nlm.nih.gov/42691224/</w:t>
      </w:r>
    </w:p>
    <w:p>
      <w:pPr>
        <w:pStyle w:val="Heading1"/>
      </w:pPr>
      <w:r>
        <w:t>Aufgenommen am 22.09.2026</w:t>
      </w:r>
    </w:p>
    <w:p>
      <w:pPr>
        <w:pStyle w:val="Heading2"/>
      </w:pPr>
      <w:r>
        <w:t>Symptom-Belastung während Behandlung: Starkes Prognosesignal für Überleben</w:t>
      </w:r>
    </w:p>
    <w:p>
      <w:r>
        <w:rPr>
          <w:i/>
          <w:color w:val="666666"/>
          <w:sz w:val="18"/>
        </w:rPr>
        <w:t>Hofsø K et al.  ·  ESMO Open  ·  21.09.2026  ·  PMID 42767083</w:t>
      </w:r>
    </w:p>
    <w:p>
      <w:r>
        <w:t>534 Patienten während Krebsbehandlung wurden nach Symptomen klassifiziert; die Assoziation zwischen Symptombelastung und langfristigem Überleben wurde 12–15 Jahre später gemessen.</w:t>
      </w:r>
    </w:p>
    <w:p>
      <w:r>
        <w:rPr>
          <w:b/>
        </w:rPr>
        <w:t xml:space="preserve">Ergebnis: </w:t>
      </w:r>
      <w:r>
        <w:t>Patienten mit durchgehend hoher Symptombelastung zeigten eine höhere Mortalität (HR 1,48; 95% KI 1,14–1,94) als andere Symptomgruppen. Symptomklassen könnten zur Risikoschichtung herangezogen werden.</w:t>
      </w:r>
    </w:p>
    <w:p>
      <w:r>
        <w:rPr>
          <w:b/>
          <w:sz w:val="19"/>
        </w:rPr>
        <w:t xml:space="preserve">Übertragbarkeit: </w:t>
      </w:r>
      <w:r>
        <w:rPr>
          <w:sz w:val="19"/>
        </w:rPr>
        <w:t>Norwegen, Versicherungssystem und Onkologieversorgung vergleichbar mit Deutschland.</w:t>
      </w:r>
    </w:p>
    <w:p>
      <w:r>
        <w:rPr>
          <w:color w:val="5A7D3A"/>
          <w:sz w:val="18"/>
        </w:rPr>
        <w:t>https://pubmed.ncbi.nlm.nih.gov/42767083/</w:t>
      </w:r>
    </w:p>
    <w:p>
      <w:pPr>
        <w:pStyle w:val="Heading2"/>
      </w:pPr>
      <w:r>
        <w:t>Dosisreduktion bei Ewing-Sarkom: Verzicht auf Therapie verschärft Prognose nicht</w:t>
      </w:r>
    </w:p>
    <w:p>
      <w:r>
        <w:rPr>
          <w:i/>
          <w:color w:val="666666"/>
          <w:sz w:val="18"/>
        </w:rPr>
        <w:t>Liu Y et al.  ·  Eur J Cancer  ·  16.09.2026  ·  PMID 42766959</w:t>
      </w:r>
    </w:p>
    <w:p>
      <w:r>
        <w:t>Euro Ewing 2012-Daten von 534 Patienten wurden analysiert, um die Auswirkung von Chemotherapie-Dosisanpassungen auf ereignisfreies Überleben zu quantifizieren.</w:t>
      </w:r>
    </w:p>
    <w:p>
      <w:r>
        <w:rPr>
          <w:b/>
        </w:rPr>
        <w:t xml:space="preserve">Ergebnis: </w:t>
      </w:r>
      <w:r>
        <w:t>Dosisreduktion war protektiv (HR 0,69; KI 0,39–1,24), Therapieverzögerung neutral (HR 1,02; KI 0,90–1,15); beide nicht signifikant. Toxizitätsmanagement durch Dosisanpassung beeinträchtigt Prognose nicht wesentlich.</w:t>
      </w:r>
    </w:p>
    <w:p>
      <w:r>
        <w:rPr>
          <w:b/>
          <w:sz w:val="19"/>
        </w:rPr>
        <w:t xml:space="preserve">Übertragbarkeit: </w:t>
      </w:r>
      <w:r>
        <w:rPr>
          <w:sz w:val="19"/>
        </w:rPr>
        <w:t>Europäische Studie, multinationale Kohorte, Ergebnisse übertragbar auf deutsches Versorgungssystem.</w:t>
      </w:r>
    </w:p>
    <w:p>
      <w:r>
        <w:rPr>
          <w:color w:val="5A7D3A"/>
          <w:sz w:val="18"/>
        </w:rPr>
        <w:t>https://pubmed.ncbi.nlm.nih.gov/42766959/</w:t>
      </w:r>
    </w:p>
    <w:p>
      <w:pPr>
        <w:pStyle w:val="Heading2"/>
      </w:pPr>
      <w:r>
        <w:t>Operationsrand bei Brustkrebs in situ: Unter 2 mm nicht automatisch ungünstiger</w:t>
      </w:r>
    </w:p>
    <w:p>
      <w:r>
        <w:rPr>
          <w:i/>
          <w:color w:val="666666"/>
          <w:sz w:val="18"/>
        </w:rPr>
        <w:t>Nash AL et al.  ·  J Clin Oncol  ·  21.09.2026  ·  PMID 42766806</w:t>
      </w:r>
    </w:p>
    <w:p>
      <w:r>
        <w:t>11.156 Frauen mit DCIS wurden nach Operationsrandbreite klassifiziert und lokales Rezidivrisiko gemessen; multivariables Cox-Modell nach klinischen Faktoren adjustiert.</w:t>
      </w:r>
    </w:p>
    <w:p>
      <w:r>
        <w:rPr>
          <w:b/>
        </w:rPr>
        <w:t xml:space="preserve">Ergebnis: </w:t>
      </w:r>
      <w:r>
        <w:t>Bei negativem Rand zeigt sich kein signifikanter Unterschied zwischen &lt;2 mm und ≥2 mm Randbreite in Rezidivrate. Nur in der Subgruppe &lt;50 Jahre war schmaler Rand ungünstiger. ORR Brusterhalt, Strahlentherapie, Alter, Hormonrezeptor und Tumor-Grade berücksichtigt.</w:t>
      </w:r>
    </w:p>
    <w:p>
      <w:r>
        <w:rPr>
          <w:b/>
          <w:sz w:val="19"/>
        </w:rPr>
        <w:t xml:space="preserve">Übertragbarkeit: </w:t>
      </w:r>
      <w:r>
        <w:rPr>
          <w:sz w:val="19"/>
        </w:rPr>
        <w:t>USA, Nationale Krebsdatenbank, vergleichbare Dokumentationsstandards zu deutschem Krebsregister.</w:t>
      </w:r>
    </w:p>
    <w:p>
      <w:r>
        <w:rPr>
          <w:color w:val="5A7D3A"/>
          <w:sz w:val="18"/>
        </w:rPr>
        <w:t>https://pubmed.ncbi.nlm.nih.gov/42766806/</w:t>
      </w:r>
    </w:p>
    <w:p>
      <w:pPr>
        <w:pStyle w:val="Heading2"/>
      </w:pPr>
      <w:r>
        <w:t>Krebsimpfstoffe: Überblick über Wirkmechanismen und klinische Erfolge</w:t>
      </w:r>
    </w:p>
    <w:p>
      <w:r>
        <w:rPr>
          <w:i/>
          <w:color w:val="666666"/>
          <w:sz w:val="18"/>
        </w:rPr>
        <w:t>Disis ML et al.  ·  JAMA  ·  21.09.2026  ·  PMID 42766303</w:t>
      </w:r>
    </w:p>
    <w:p>
      <w:r>
        <w:t>Systematische Übersicht der Translational-Science-Literatur zu Krebsvakzinen, deren Komponenten, Wirkungsweisen und bisherigen Zulassungserfolgen.</w:t>
      </w:r>
    </w:p>
    <w:p>
      <w:r>
        <w:rPr>
          <w:b/>
        </w:rPr>
        <w:t xml:space="preserve">Ergebnis: </w:t>
      </w:r>
      <w:r>
        <w:t>Sipuleucel-T reduzierte Mortalität um 22% vs. Placebo (HR 0,78; p=0,03). Talimogene laherparepvec erhöhte 6-Monats-Remissionsrate auf 16,3% vs. 2,1% (p&lt;0,001). mRNA-4157+Pembrolizumab verbesserte rezidivfreies Überleben bei Melanom (76,6% vs. 60%; HR 0,56; p=0,05). Nebenwirkungen überwiegend mild.</w:t>
      </w:r>
    </w:p>
    <w:p>
      <w:r>
        <w:rPr>
          <w:b/>
          <w:sz w:val="19"/>
        </w:rPr>
        <w:t xml:space="preserve">Übertragbarkeit: </w:t>
      </w:r>
      <w:r>
        <w:rPr>
          <w:sz w:val="19"/>
        </w:rPr>
        <w:t>USA-Literaturübersicht, Mechanismen und Sicherheitsprofil universell, Verfügbarkeit in Deutschland an Zulassung/Nutzenbewertung gekoppelt.</w:t>
      </w:r>
    </w:p>
    <w:p>
      <w:r>
        <w:rPr>
          <w:color w:val="5A7D3A"/>
          <w:sz w:val="18"/>
        </w:rPr>
        <w:t>https://pubmed.ncbi.nlm.nih.gov/42766303/</w:t>
      </w:r>
    </w:p>
    <w:p>
      <w:pPr>
        <w:pStyle w:val="Heading2"/>
      </w:pPr>
      <w:r>
        <w:t>Ceralasertib plus Olaparib bei HER2-negativem Triple-negativem Brustkrebs: ORR-Gewinn ohne PFS-Vorteil</w:t>
      </w:r>
    </w:p>
    <w:p>
      <w:r>
        <w:rPr>
          <w:i/>
          <w:color w:val="666666"/>
          <w:sz w:val="18"/>
        </w:rPr>
        <w:t>Tutt A et al.  ·  Clin Cancer Res  ·  21.09.2026  ·  PMID 42765908</w:t>
      </w:r>
    </w:p>
    <w:p>
      <w:r>
        <w:t>273 Patientinnen mit PARP-inhibitor-naiven, vorbehandelten triple-negativen Mammakarzinomen wurden in drei molekulare Schichten randomisiert: Olaparib allein gegen Kombinationen mit ATR- oder WEE1-Inhibitor.</w:t>
      </w:r>
    </w:p>
    <w:p>
      <w:r>
        <w:rPr>
          <w:b/>
        </w:rPr>
        <w:t xml:space="preserve">Ergebnis: </w:t>
      </w:r>
      <w:r>
        <w:t>Bei nicht-HRR-mutierten Tumoren: Ceralasertib+Olaparib erhöhte ORR auf 15,4% vs. 3,9% (p=0,0425); PFS-Mediane aber 3,6 vs. 3,6 Monate (nicht signifikant). Adavosertib+Olaparib wurde wegen Toxizität abgebrochen.</w:t>
      </w:r>
    </w:p>
    <w:p>
      <w:r>
        <w:rPr>
          <w:b/>
          <w:sz w:val="19"/>
        </w:rPr>
        <w:t xml:space="preserve">Übertragbarkeit: </w:t>
      </w:r>
      <w:r>
        <w:rPr>
          <w:sz w:val="19"/>
        </w:rPr>
        <w:t>Internationale Studie, einschl. Deutschland/Belgien, vergleichbare onkologische Versorgung, Ergebnis beschränkt: ORR-Gewinn ohne Überleben-Nutzen fraglich.</w:t>
      </w:r>
    </w:p>
    <w:p>
      <w:r>
        <w:rPr>
          <w:color w:val="5A7D3A"/>
          <w:sz w:val="18"/>
        </w:rPr>
        <w:t>https://pubmed.ncbi.nlm.nih.gov/42765908/</w:t>
      </w:r>
    </w:p>
    <w:p>
      <w:pPr>
        <w:pStyle w:val="Heading2"/>
      </w:pPr>
      <w:r>
        <w:t>Wirbelkörperfrakturen und Myelom-Risiko: Prospektive Kohortenstudie mit Incidental-Befunden</w:t>
      </w:r>
    </w:p>
    <w:p>
      <w:r>
        <w:rPr>
          <w:i/>
          <w:color w:val="666666"/>
          <w:sz w:val="18"/>
        </w:rPr>
        <w:t>Rønnemoes R et al.  ·  Leukemia  ·  18.09.2026  ·  PMID 42760387</w:t>
      </w:r>
    </w:p>
    <w:p>
      <w:r>
        <w:t>9.059 Personen aus bevölkerungsrepräsentativer dänischer Stichprobe erhielten CT-Scans; zufällig entdeckte Wirbelkörperfrakturen wurden als Myelom-Risikofaktor untersucht.</w:t>
      </w:r>
    </w:p>
    <w:p>
      <w:r>
        <w:rPr>
          <w:b/>
        </w:rPr>
        <w:t xml:space="preserve">Ergebnis: </w:t>
      </w:r>
      <w:r>
        <w:t>Inzidentelle Wirbelkörperfrakturen zeigten Assoziation mit erhöhtem Myelom-Risiko; Ergebnisse liegen noch in Publikation vor, konkrete Hazard-Ratio nicht im vorliegenden Abstract genannt.</w:t>
      </w:r>
    </w:p>
    <w:p>
      <w:r>
        <w:rPr>
          <w:b/>
          <w:sz w:val="19"/>
        </w:rPr>
        <w:t xml:space="preserve">Übertragbarkeit: </w:t>
      </w:r>
      <w:r>
        <w:rPr>
          <w:sz w:val="19"/>
        </w:rPr>
        <w:t>Dänemark, nationale Bevölkerungsstudie, Diagnostik durch Standardbildgebung deutschem Standard entsprechend.</w:t>
      </w:r>
    </w:p>
    <w:p>
      <w:r>
        <w:rPr>
          <w:color w:val="5A7D3A"/>
          <w:sz w:val="18"/>
        </w:rPr>
        <w:t>https://pubmed.ncbi.nlm.nih.gov/42760387/</w:t>
      </w:r>
    </w:p>
    <w:p>
      <w:pPr>
        <w:pStyle w:val="Heading1"/>
      </w:pPr>
      <w:r>
        <w:t>Aufgenommen am 21.09.2026</w:t>
      </w:r>
    </w:p>
    <w:p>
      <w:pPr>
        <w:pStyle w:val="Heading2"/>
      </w:pPr>
      <w:r>
        <w:t>SABR bei oligometastatischem Brustkrebs: Lokale Kontrolle 92,5% in 1 Jahr</w:t>
      </w:r>
    </w:p>
    <w:p>
      <w:r>
        <w:rPr>
          <w:i/>
          <w:color w:val="666666"/>
          <w:sz w:val="18"/>
        </w:rPr>
        <w:t>Viani GA et al.  ·  Radiother Oncol  ·  20.09.2026  ·  PMID 42764105</w:t>
      </w:r>
    </w:p>
    <w:p>
      <w:r>
        <w:t>Metaanalyse von 25 Studien (1.577 Patienten) zu stereotaktischer ablativer Radiotherapie bei oligometastatischem Brustkrebs.</w:t>
      </w:r>
    </w:p>
    <w:p>
      <w:r>
        <w:rPr>
          <w:b/>
        </w:rPr>
        <w:t xml:space="preserve">Ergebnis: </w:t>
      </w:r>
      <w:r>
        <w:t>Lokale Kontrolle nach 1 Jahr: 92,5 % (95% KI 90,4–94,2), nach 2 Jahren 84,6 % (81,1–87,6). De-novo-Oligometastasen zeigten bessere Ergebnisse als Oligoprogression (OS nach 2 Jahren 91,0 vs. 65,8 %; p=0,002). Grad ≥3-Nebenwirkungen in nur 1,5 % der Patienten.</w:t>
      </w:r>
    </w:p>
    <w:p>
      <w:r>
        <w:rPr>
          <w:b/>
          <w:sz w:val="19"/>
        </w:rPr>
        <w:t xml:space="preserve">Übertragbarkeit: </w:t>
      </w:r>
      <w:r>
        <w:rPr>
          <w:sz w:val="19"/>
        </w:rPr>
        <w:t>Europäische und internationale Studien, vergleichbare Versorgungsstandards</w:t>
      </w:r>
    </w:p>
    <w:p>
      <w:r>
        <w:rPr>
          <w:color w:val="5A7D3A"/>
          <w:sz w:val="18"/>
        </w:rPr>
        <w:t>https://pubmed.ncbi.nlm.nih.gov/42764105/</w:t>
      </w:r>
    </w:p>
    <w:p>
      <w:pPr>
        <w:pStyle w:val="Heading2"/>
      </w:pPr>
      <w:r>
        <w:t>Screening für Schmerz und Depression verbessert sich, aber nicht die Symptomlinderung</w:t>
      </w:r>
    </w:p>
    <w:p>
      <w:r>
        <w:rPr>
          <w:i/>
          <w:color w:val="666666"/>
          <w:sz w:val="18"/>
        </w:rPr>
        <w:t>Huang TQ et al.  ·  JCO Oncol Pract  ·  17.09.2026  ·  PMID 42753214</w:t>
      </w:r>
    </w:p>
    <w:p>
      <w:r>
        <w:t>Analyse von Patienten-Erfahrungsdaten aus dem Oncology Care Model (USA) 2017–2022: Trend von praxis-dokumentierten Screening-Raten vs. Patient-reported Outcomes.</w:t>
      </w:r>
    </w:p>
    <w:p>
      <w:r>
        <w:rPr>
          <w:b/>
        </w:rPr>
        <w:t xml:space="preserve">Ergebnis: </w:t>
      </w:r>
      <w:r>
        <w:t>Praxis-berichtete Schmerz-Screening/-Management-Raten stiegen von 76,5 % auf 92,6 % (2017–2022); Depression von 56,6 % auf 81,7 %. Aber patient-berichtete Schmerzen nahmen leicht ab (–0,2 Prozentpunkte/Quartal; p=0,002), Hilfe bei Symptomen stieg nicht (p&gt;0,20).</w:t>
      </w:r>
    </w:p>
    <w:p>
      <w:r>
        <w:rPr>
          <w:b/>
          <w:sz w:val="19"/>
        </w:rPr>
        <w:t xml:space="preserve">Übertragbarkeit: </w:t>
      </w:r>
      <w:r>
        <w:rPr>
          <w:sz w:val="19"/>
        </w:rPr>
        <w:t>USA, Qualitätsmessung im Versicherungssystem unterscheidet sich von Deutschland</w:t>
      </w:r>
    </w:p>
    <w:p>
      <w:r>
        <w:rPr>
          <w:color w:val="5A7D3A"/>
          <w:sz w:val="18"/>
        </w:rPr>
        <w:t>https://pubmed.ncbi.nlm.nih.gov/42753214/</w:t>
      </w:r>
    </w:p>
    <w:p>
      <w:pPr>
        <w:pStyle w:val="Heading2"/>
      </w:pPr>
      <w:r>
        <w:t>MET-Biomarker-Schwellenwerte bei Osimertinib-resistentem EGFR-mutiertem Lungenkarzinom</w:t>
      </w:r>
    </w:p>
    <w:p>
      <w:r>
        <w:rPr>
          <w:i/>
          <w:color w:val="666666"/>
          <w:sz w:val="18"/>
        </w:rPr>
        <w:t>Ahn MJ et al.  ·  Clin Cancer Res  ·  17.09.2026  ·  PMID 42752799</w:t>
      </w:r>
    </w:p>
    <w:p>
      <w:r>
        <w:t>Retrospektive Analyse aus Phase-II-SAVANNAH-Studie: Bestimmung optimaler MET-Cutoffs (IHC/FISH) für Savolitinib plus Osimertinib bei vorbehandeltem NSCLC.</w:t>
      </w:r>
    </w:p>
    <w:p>
      <w:r>
        <w:rPr>
          <w:b/>
        </w:rPr>
        <w:t xml:space="preserve">Ergebnis: </w:t>
      </w:r>
      <w:r>
        <w:t>ORR 49 % (MET IHC 3+/≥90 % und/oder FISH 10+) vs. 9 % (MET-negativ); 32 % (MET IHC 3+/≥50 % oder FISH 5+). Prävalenz MET 3+/≥90 % oder FISH 10+ betrug 34 %. Optimale Cutoffs identifiziert für Phase-III-SAFFRON-Studie.</w:t>
      </w:r>
    </w:p>
    <w:p>
      <w:r>
        <w:rPr>
          <w:b/>
          <w:sz w:val="19"/>
        </w:rPr>
        <w:t xml:space="preserve">Übertragbarkeit: </w:t>
      </w:r>
      <w:r>
        <w:rPr>
          <w:sz w:val="19"/>
        </w:rPr>
        <w:t>Internationale Studie, Biomarker-Definition für Zulassungspfade weltweit</w:t>
      </w:r>
    </w:p>
    <w:p>
      <w:r>
        <w:rPr>
          <w:color w:val="5A7D3A"/>
          <w:sz w:val="18"/>
        </w:rPr>
        <w:t>https://pubmed.ncbi.nlm.nih.gov/42752799/</w:t>
      </w:r>
    </w:p>
    <w:p>
      <w:pPr>
        <w:pStyle w:val="Heading2"/>
      </w:pPr>
      <w:r>
        <w:t>Immun-Checkpoint-Inhibitoren bei Kopf-Hals-Tumoren mit niedriger PD-L1: verschlechterte Überlebensergebnisse</w:t>
      </w:r>
    </w:p>
    <w:p>
      <w:r>
        <w:rPr>
          <w:i/>
          <w:color w:val="666666"/>
          <w:sz w:val="18"/>
        </w:rPr>
        <w:t>Jin M et al.  ·  JAMA Oncol  ·  17.09.2026  ·  PMID 42752536</w:t>
      </w:r>
    </w:p>
    <w:p>
      <w:r>
        <w:t>Bayessche Metaanalyse von 7 randomisierten Studien (630 Patienten mit PD-L1 CPS &lt;1) zum Overall Survival unter ICI-Therapie vs. Standard-Chemotherapie bei Kopf-Hals-Karzinomen.</w:t>
      </w:r>
    </w:p>
    <w:p>
      <w:r>
        <w:rPr>
          <w:b/>
        </w:rPr>
        <w:t xml:space="preserve">Ergebnis: </w:t>
      </w:r>
      <w:r>
        <w:t>Posterior-Wahrscheinlichkeit für schlechteres OS unter ICI: 95,6 %. Bayesscher HR 1,42 (95% KI 0,93–2,06); frequentistischer HR 1,46 (95% KI 1,17–1,83; p&lt;0,001). Empfehlung: Vorsicht bei ICI in dieser PD-L1-negativen Subgruppe.</w:t>
      </w:r>
    </w:p>
    <w:p>
      <w:r>
        <w:rPr>
          <w:b/>
          <w:sz w:val="19"/>
        </w:rPr>
        <w:t xml:space="preserve">Übertragbarkeit: </w:t>
      </w:r>
      <w:r>
        <w:rPr>
          <w:sz w:val="19"/>
        </w:rPr>
        <w:t>USA und internationale Studien, Befund ist allgemein anwendbar</w:t>
      </w:r>
    </w:p>
    <w:p>
      <w:r>
        <w:rPr>
          <w:color w:val="5A7D3A"/>
          <w:sz w:val="18"/>
        </w:rPr>
        <w:t>https://pubmed.ncbi.nlm.nih.gov/42752536/</w:t>
      </w:r>
    </w:p>
    <w:p>
      <w:pPr>
        <w:pStyle w:val="Heading2"/>
      </w:pPr>
      <w:r>
        <w:t>Tumorreaktion γδ T-Zell-Rezeptoren aus Myelom: Machine-Learning-Identifikation und universelle Therapie</w:t>
      </w:r>
    </w:p>
    <w:p>
      <w:r>
        <w:rPr>
          <w:i/>
          <w:color w:val="666666"/>
          <w:sz w:val="18"/>
        </w:rPr>
        <w:t>St Paul M et al.  ·  Nature  ·  16.09.2026  ·  PMID 42749802</w:t>
      </w:r>
    </w:p>
    <w:p>
      <w:r>
        <w:t>Grundlagenarbeit: PreGame-Algorithmus zur Identifikation tumorreaktiver γδ TCRs aus Single-Cell-Daten. Validierung in Patienten mit Multiplem Myelom; Expansion tumorreaktiver γδ T-Zellen als früher Biomarker für Therapieansprechen.</w:t>
      </w:r>
    </w:p>
    <w:p>
      <w:r>
        <w:rPr>
          <w:b/>
        </w:rPr>
        <w:t xml:space="preserve">Ergebnis: </w:t>
      </w:r>
      <w:r>
        <w:t>PreGame identifiziert tumorreaktion γδ T-Zellen zuverlässig. Expansion während Belantamab-Mafodotin-Therapie korrelierte mit Ansprechen. γδ TCR-Epitop in HLA-C gefunden; Potenzial für universelle γδ-TCR-Therapeutika.</w:t>
      </w:r>
    </w:p>
    <w:p>
      <w:r>
        <w:rPr>
          <w:b/>
          <w:sz w:val="19"/>
        </w:rPr>
        <w:t xml:space="preserve">Übertragbarkeit: </w:t>
      </w:r>
      <w:r>
        <w:rPr>
          <w:sz w:val="19"/>
        </w:rPr>
        <w:t>Kanada und international, Grundlagenergebnis mit Therapie-Translationspfad</w:t>
      </w:r>
    </w:p>
    <w:p>
      <w:r>
        <w:rPr>
          <w:color w:val="5A7D3A"/>
          <w:sz w:val="18"/>
        </w:rPr>
        <w:t>https://pubmed.ncbi.nlm.nih.gov/42749802/</w:t>
      </w:r>
    </w:p>
    <w:p>
      <w:pPr>
        <w:pStyle w:val="Heading2"/>
      </w:pPr>
      <w:r>
        <w:t>Sozioökonomische Disparitäten bei Sarkomdiagnose und Zentrumsanbindung</w:t>
      </w:r>
    </w:p>
    <w:p>
      <w:r>
        <w:rPr>
          <w:i/>
          <w:color w:val="666666"/>
          <w:sz w:val="18"/>
        </w:rPr>
        <w:t>Mascaró-Baselga P et al.  ·  Oncologist  ·  09.09.2026  ·  PMID 42704687</w:t>
      </w:r>
    </w:p>
    <w:p>
      <w:r>
        <w:t>Querschnittsstudie an 415 Sarkom-Patienten (365 Spanien, 50 Portugal) zu Einflussfaktoren auf Diagnostik, Überweisung und Patientengruppen-Awareness.</w:t>
      </w:r>
    </w:p>
    <w:p>
      <w:r>
        <w:rPr>
          <w:b/>
        </w:rPr>
        <w:t xml:space="preserve">Ergebnis: </w:t>
      </w:r>
      <w:r>
        <w:t>Niedrigeres Einkommen (OR 2,38) war mit längeren Diagnostik-Verzögerungen assoziiert; ländliches Wohnen (OR 3,48) mit weniger Überweisungen zu Spezialistzentren. Sarkoma-Spezifische Advocacy-Group-Awareness lag bei 20 % und war höher mit Universitätsabschluss (OR 4,27). Auch in universellen Gesundheitssystemen bestehen Ungleichheiten beim Zugang.</w:t>
      </w:r>
    </w:p>
    <w:p>
      <w:r>
        <w:rPr>
          <w:b/>
          <w:sz w:val="19"/>
        </w:rPr>
        <w:t xml:space="preserve">Übertragbarkeit: </w:t>
      </w:r>
      <w:r>
        <w:rPr>
          <w:sz w:val="19"/>
        </w:rPr>
        <w:t>Spanien und Portugal, europäische Versicherungssysteme, universale Gesundheitsversorgung</w:t>
      </w:r>
    </w:p>
    <w:p>
      <w:r>
        <w:rPr>
          <w:color w:val="5A7D3A"/>
          <w:sz w:val="18"/>
        </w:rPr>
        <w:t>https://pubmed.ncbi.nlm.nih.gov/42704687/</w:t>
      </w:r>
    </w:p>
    <w:p>
      <w:pPr>
        <w:pStyle w:val="Heading1"/>
      </w:pPr>
      <w:r>
        <w:t>Aufgenommen am 20.09.2026</w:t>
      </w:r>
    </w:p>
    <w:p>
      <w:pPr>
        <w:pStyle w:val="Heading2"/>
      </w:pPr>
      <w:r>
        <w:t>Omit-CTV in begrenzt-stadialem Kleinzellkarzinom: Gleiche Wirkung, weniger Toxizität</w:t>
      </w:r>
    </w:p>
    <w:p>
      <w:r>
        <w:rPr>
          <w:i/>
          <w:color w:val="666666"/>
          <w:sz w:val="18"/>
        </w:rPr>
        <w:t>Wang X et al.  ·  Radiother Oncol  ·  19.09.2026  ·  PMID 42763051</w:t>
      </w:r>
    </w:p>
    <w:p>
      <w:r>
        <w:t>Retrospektive Real-World-Studie an 946 Patienten mit begrenzt-stadialem Kleinzellkarzinom der Lunge zum Vergleich von Bestrahlungstechnik mit und ohne klinisches Zielvolumen.</w:t>
      </w:r>
    </w:p>
    <w:p>
      <w:r>
        <w:rPr>
          <w:b/>
        </w:rPr>
        <w:t xml:space="preserve">Ergebnis: </w:t>
      </w:r>
      <w:r>
        <w:t>Mediales PFS 11,8 vs. 11,6 Monate (HR 0,93; p=0,500), mediales OS 35,8 vs. 30,7 Monate (HR 0,85; p=0,220). Omit-CTV zeigte niedrigere Pneumonitis-Raten (Grad ≥3: 3,4 % vs. 8,3 %) und Ösophagitis (Grad ≥3: 5,7 % vs. 9,1 %). Bei Immuntherapie-Patienten: nicht erreichte PFS vs. 15,2 Monate (HR 0,48; p=0,033), nicht erreichte OS vs. 26,9 Monate (HR 0,31; p=0,018).</w:t>
      </w:r>
    </w:p>
    <w:p>
      <w:r>
        <w:rPr>
          <w:b/>
          <w:sz w:val="19"/>
        </w:rPr>
        <w:t xml:space="preserve">Übertragbarkeit: </w:t>
      </w:r>
      <w:r>
        <w:rPr>
          <w:sz w:val="19"/>
        </w:rPr>
        <w:t>China, nationale Klinikdaten; technische Replizierbarkeit international, aber Validierung erforderlich</w:t>
      </w:r>
    </w:p>
    <w:p>
      <w:r>
        <w:rPr>
          <w:color w:val="5A7D3A"/>
          <w:sz w:val="18"/>
        </w:rPr>
        <w:t>https://pubmed.ncbi.nlm.nih.gov/42763051/</w:t>
      </w:r>
    </w:p>
    <w:p>
      <w:pPr>
        <w:pStyle w:val="Heading2"/>
      </w:pPr>
      <w:r>
        <w:t>Dosisunterversorgung bei Protonentherapie: Kein Einfluss auf Ansprechen bei Ösophaguskarzinom</w:t>
      </w:r>
    </w:p>
    <w:p>
      <w:r>
        <w:rPr>
          <w:i/>
          <w:color w:val="666666"/>
          <w:sz w:val="18"/>
        </w:rPr>
        <w:t>van Keeken K et al.  ·  Radiother Oncol  ·  19.09.2026  ·  PMID 42763050</w:t>
      </w:r>
    </w:p>
    <w:p>
      <w:r>
        <w:t>Retrospektive niederländische Analyse von 135 Patienten mit distalem Ösophaguskarzinom unter neoadjuvanter Chemoradiotherapie und intensitätsmodulierter Protonentherapie zur Beziehung zwischen akkumulierter Targetdosis und Tumor-Response.</w:t>
      </w:r>
    </w:p>
    <w:p>
      <w:r>
        <w:rPr>
          <w:b/>
        </w:rPr>
        <w:t xml:space="preserve">Ergebnis: </w:t>
      </w:r>
      <w:r>
        <w:t>Dosisunterversorgung des Internal-Target-Volume (ITV D98 % &lt;94 %) trat bei 21 % auf, Gross-Tumor-Volume-Unterversorgung in 0 %. Persistierende klinische komplette Remission/pathologische komplette Remission: 30 % mit vs. 28 % ohne ITV-Unterversorgung (p=0,90). 2-Jahres-OS identisch (64 %). Zwerchfellbewegung &gt;2 cm war nicht mit Unterversorgung assoziiert.</w:t>
      </w:r>
    </w:p>
    <w:p>
      <w:r>
        <w:rPr>
          <w:b/>
          <w:sz w:val="19"/>
        </w:rPr>
        <w:t xml:space="preserve">Übertragbarkeit: </w:t>
      </w:r>
      <w:r>
        <w:rPr>
          <w:sz w:val="19"/>
        </w:rPr>
        <w:t>Niederländische Klinik, vergleichbares Versicherungssystem; Technische Parameter übertragbar</w:t>
      </w:r>
    </w:p>
    <w:p>
      <w:r>
        <w:rPr>
          <w:color w:val="5A7D3A"/>
          <w:sz w:val="18"/>
        </w:rPr>
        <w:t>https://pubmed.ncbi.nlm.nih.gov/42763050/</w:t>
      </w:r>
    </w:p>
    <w:p>
      <w:pPr>
        <w:pStyle w:val="Heading2"/>
      </w:pPr>
      <w:r>
        <w:t>MammaPrint im MINDACT: 70-Gen-Signatur bestätigt Prognosekraft bei hochrisiko-Brustkrebspatientinnen</w:t>
      </w:r>
    </w:p>
    <w:p>
      <w:r>
        <w:rPr>
          <w:i/>
          <w:color w:val="666666"/>
          <w:sz w:val="18"/>
        </w:rPr>
        <w:t>Gielen RCAM et al.  ·  Eur J Cancer  ·  11.09.2026  ·  PMID 42762561</w:t>
      </w:r>
    </w:p>
    <w:p>
      <w:r>
        <w:t>Exploratorische Subgruppen-Analyse des MINDACT-Trials zu prognostischer Performance des 70-Gen-Signatures in Patientinnen über 50 Jahren mit HR+/HER2- Brustkrebs und klinisch hohem, genomisch niedrigem Risiko, die auf Chemotherapie verzichteten.</w:t>
      </w:r>
    </w:p>
    <w:p>
      <w:r>
        <w:rPr>
          <w:b/>
        </w:rPr>
        <w:t xml:space="preserve">Ergebnis: </w:t>
      </w:r>
      <w:r>
        <w:t>Bei 490 Patientinnen mit Tumoren &gt;2 cm: 8-Jahres-DMFS 87,9 % ohne Chemotherapie (95%-KI 82,9–91,6 %), absoluter Benefit durch Chemotherapie 1,2 %. Bei Grad-3-Tumoren (n=232): DMFS 91,3 % ohne Chemotherapie, Benefit -2,2 %. Bei Lymphknoten-Befall (n=406): DMFS 89,6 %, Benefit 0,7 %. Der Signatur behält prognostische Validität in diesen Hochrisiko-Subgruppen.</w:t>
      </w:r>
    </w:p>
    <w:p>
      <w:r>
        <w:rPr>
          <w:b/>
          <w:sz w:val="19"/>
        </w:rPr>
        <w:t xml:space="preserve">Übertragbarkeit: </w:t>
      </w:r>
      <w:r>
        <w:rPr>
          <w:sz w:val="19"/>
        </w:rPr>
        <w:t>Europäischer Multizenterstudie (EORTC); GnP-Assessment, Leitlinien-relevant</w:t>
      </w:r>
    </w:p>
    <w:p>
      <w:r>
        <w:rPr>
          <w:color w:val="5A7D3A"/>
          <w:sz w:val="18"/>
        </w:rPr>
        <w:t>https://pubmed.ncbi.nlm.nih.gov/42762561/</w:t>
      </w:r>
    </w:p>
    <w:p>
      <w:pPr>
        <w:pStyle w:val="Heading2"/>
      </w:pPr>
      <w:r>
        <w:t>Zugang zu Phase-I-Studien: Barrieren und Chancen bei 26.000 Patienten</w:t>
      </w:r>
    </w:p>
    <w:p>
      <w:r>
        <w:rPr>
          <w:i/>
          <w:color w:val="666666"/>
          <w:sz w:val="18"/>
        </w:rPr>
        <w:t>Roulleaux Dugage M et al.  ·  Eur J Cancer  ·  17.09.2026  ·  PMID 42762559</w:t>
      </w:r>
    </w:p>
    <w:p>
      <w:r>
        <w:t>Französisches Einzelzentrum-Register (Gustave Roussy 2007–2023) zur Untersuchung von Überweisungs- und Einschluss-Mustern in Early-Phase-Trials sowie Dauer bis Therapie-Beginn und Behandlungs-Dauer.</w:t>
      </w:r>
    </w:p>
    <w:p>
      <w:r>
        <w:rPr>
          <w:b/>
        </w:rPr>
        <w:t xml:space="preserve">Ergebnis: </w:t>
      </w:r>
      <w:r>
        <w:t>Von 26.394 überweisenen Patienten wurden 13.713 (52 %) evaluiert, 5.847 (22 %) gaben Einwilligung ab, 4.769 (18 %) erhielten mindestens eine Dosis. Mediane Zeit von Uberweisung zu Trial-Inkl: variabel nach Tumortyp. Zugangsdisparitäten: Nicht-kleinzelliges Lungenkarzinom war häufigste Überweisung (n=5.025, 19 %), aber Brust-, Kolorektal- und Pankreaskarzinom hatten niedrige Behandlungsquoten trotz hoher Überweisungen. Therapeutische Landschaft: Anstieg von Antikörper-Wirkstoff-Konjugaten und T-Zell-Engagern, Rückgang konventioneller monoklonaler Antikörper.</w:t>
      </w:r>
    </w:p>
    <w:p>
      <w:r>
        <w:rPr>
          <w:b/>
          <w:sz w:val="19"/>
        </w:rPr>
        <w:t xml:space="preserve">Übertragbarkeit: </w:t>
      </w:r>
      <w:r>
        <w:rPr>
          <w:sz w:val="19"/>
        </w:rPr>
        <w:t>Frankreich, spezialisiertes Zentrum; begrenzte Übertragbarkeit auf Flächenversorgung, methodisch hochwertig</w:t>
      </w:r>
    </w:p>
    <w:p>
      <w:r>
        <w:rPr>
          <w:color w:val="5A7D3A"/>
          <w:sz w:val="18"/>
        </w:rPr>
        <w:t>https://pubmed.ncbi.nlm.nih.gov/42762559/</w:t>
      </w:r>
    </w:p>
    <w:p>
      <w:pPr>
        <w:pStyle w:val="Heading2"/>
      </w:pPr>
      <w:r>
        <w:t>Europäisches Netzwerk für Krebsversorgung bei Jugendlichen und jungen Erwachsenen</w:t>
      </w:r>
    </w:p>
    <w:p>
      <w:r>
        <w:rPr>
          <w:i/>
          <w:color w:val="666666"/>
          <w:sz w:val="18"/>
        </w:rPr>
        <w:t>Ferrari A et al.  ·  ESMO Open  ·  18.09.2026  ·  PMID 42759381</w:t>
      </w:r>
    </w:p>
    <w:p>
      <w:r>
        <w:t>Policy-Paper eines europäischen Expertise-Netzwerks zu Versorgung von Adoleszenten und jungen Erwachsenen (Alter 15–39 Jahre) mit Krebserkrankungen mit Fokus auf nationale Kooperation und strukturelle Maßnahmen.</w:t>
      </w:r>
    </w:p>
    <w:p>
      <w:r>
        <w:rPr>
          <w:b/>
        </w:rPr>
        <w:t xml:space="preserve">Ergebnis: </w:t>
      </w:r>
      <w:r>
        <w:t>Netzwerk empfiehlt: (1) Etablierung länderspezifischer AYA-Zentren, (2) Kooperation zwischen pädiatrischen und Erwachsenen-Onkologie-Diensten, (3) strukturierte Psychosozial-Unterstützung, (4) harmonisierte Datenerfassung für vergleichende Analyse. Hauptmerkmale: Unterschiedliche nationale Zugangsbarrieren und Versorgungsstrukturen in Europas Ländern erfordern lokale Anpassung bei gemeinsamen Standards.</w:t>
      </w:r>
    </w:p>
    <w:p>
      <w:r>
        <w:rPr>
          <w:b/>
          <w:sz w:val="19"/>
        </w:rPr>
        <w:t xml:space="preserve">Übertragbarkeit: </w:t>
      </w:r>
      <w:r>
        <w:rPr>
          <w:sz w:val="19"/>
        </w:rPr>
        <w:t>Europäischer Kontext, 14 Länder; Übertragbar auf deutsches System mit entsprechender Anpassung</w:t>
      </w:r>
    </w:p>
    <w:p>
      <w:r>
        <w:rPr>
          <w:color w:val="5A7D3A"/>
          <w:sz w:val="18"/>
        </w:rPr>
        <w:t>https://pubmed.ncbi.nlm.nih.gov/42759381/</w:t>
      </w:r>
    </w:p>
    <w:p>
      <w:pPr>
        <w:pStyle w:val="Heading2"/>
      </w:pPr>
      <w:r>
        <w:t>Internationale Konsens-Kriterien für T-Zell-Großgranulär-Lymphom-Diagnose und Therapie</w:t>
      </w:r>
    </w:p>
    <w:p>
      <w:r>
        <w:rPr>
          <w:i/>
          <w:color w:val="666666"/>
          <w:sz w:val="18"/>
        </w:rPr>
        <w:t>Brammer JE et al.  ·  Blood  ·  21.08.2026  ·  PMID 42640859</w:t>
      </w:r>
    </w:p>
    <w:p>
      <w:r>
        <w:t>Internationale Konsensus-Arbeit (LGLL Consortium) zur Etablierung einheitlicher Diagnose-, Behandlungs- und Response-Kriterien für die seltene T-Zell-Großgranulär-Leukämie zur Standardisierung klinischer und Forschungspraxis.</w:t>
      </w:r>
    </w:p>
    <w:p>
      <w:r>
        <w:rPr>
          <w:b/>
        </w:rPr>
        <w:t xml:space="preserve">Ergebnis: </w:t>
      </w:r>
      <w:r>
        <w:t>Konsens auf folgende Punkte: (1) Harmonisierte diagnostische Laborkriterien (Flow-Cytometrie, TCR-Molekularanalyse), (2) standardisierte Behandlungsinitiat-Indikatoren (Symptomatik, Organfunktion), (3) einheitliche Response-Assessment-Parameter (Hämatologie, funktionelle Marker). Empfehlungen zur Differenzialdiagnose autoimmunärer Phänomene. Kriterien adressieren zentrale Heterogenität bisheriger Studien, um zukünftige Trials und Klinik zu vereinheitlichen.</w:t>
      </w:r>
    </w:p>
    <w:p>
      <w:r>
        <w:rPr>
          <w:b/>
          <w:sz w:val="19"/>
        </w:rPr>
        <w:t xml:space="preserve">Übertragbarkeit: </w:t>
      </w:r>
      <w:r>
        <w:rPr>
          <w:sz w:val="19"/>
        </w:rPr>
        <w:t>International mit europäischen Zentren; Standards sind system-unabhängig, direkt übertragbar</w:t>
      </w:r>
    </w:p>
    <w:p>
      <w:r>
        <w:rPr>
          <w:color w:val="5A7D3A"/>
          <w:sz w:val="18"/>
        </w:rPr>
        <w:t>https://pubmed.ncbi.nlm.nih.gov/42640859/</w:t>
      </w:r>
    </w:p>
    <w:p>
      <w:pPr>
        <w:pStyle w:val="Heading1"/>
      </w:pPr>
      <w:r>
        <w:t>Aufgenommen am 19.09.2026</w:t>
      </w:r>
    </w:p>
    <w:p>
      <w:pPr>
        <w:pStyle w:val="Heading2"/>
      </w:pPr>
      <w:r>
        <w:t>Präzisions-Prävention und Früherkennung: Framework für neue Krebskontroll-Pfade</w:t>
      </w:r>
    </w:p>
    <w:p>
      <w:r>
        <w:rPr>
          <w:i/>
          <w:color w:val="666666"/>
          <w:sz w:val="18"/>
        </w:rPr>
        <w:t>Rebbeck TR  ·  Lancet  ·  18.09.2026  ·  PMID 42759527</w:t>
      </w:r>
    </w:p>
    <w:p>
      <w:r>
        <w:t>Editoriales Essay zu Precision Prevention and Early Detection (PPED) – ein Rahmenwerk, das fragt: Wer hat erhöhtes Krebsrisiko, welche Intervention wann, wie de-eskalieren in Niedrig-Risiko-Gruppen?</w:t>
      </w:r>
    </w:p>
    <w:p>
      <w:r>
        <w:rPr>
          <w:b/>
        </w:rPr>
        <w:t xml:space="preserve">Ergebnis: </w:t>
      </w:r>
      <w:r>
        <w:t>Nur 13% der Krebsfälle werden durch Screening entdeckt; 20–50% präsentieren sich notfallmäßig. PPED-Logik funktioniert bei erblichen Syndromen mit ausreichend angereichertem Risiko. Schlüssel: Gesundheitssystem-Infrastruktur und Arbeitskräfte für longitudinales Präventions-Planning; de-Eskalation in Niedrig-Risiko-Personen genauso wichtig wie Intensivierung in Hoch-Risiko. Größte Herausforderung der nächsten Dekade.</w:t>
      </w:r>
    </w:p>
    <w:p>
      <w:r>
        <w:rPr>
          <w:b/>
          <w:sz w:val="19"/>
        </w:rPr>
        <w:t xml:space="preserve">Übertragbarkeit: </w:t>
      </w:r>
      <w:r>
        <w:rPr>
          <w:sz w:val="19"/>
        </w:rPr>
        <w:t>Weltweit anwendbare Prinzipien; deutsche Früherkennung und Zentrenstruktur ermöglichen Umsetzung.</w:t>
      </w:r>
    </w:p>
    <w:p>
      <w:r>
        <w:rPr>
          <w:color w:val="5A7D3A"/>
          <w:sz w:val="18"/>
        </w:rPr>
        <w:t>https://pubmed.ncbi.nlm.nih.gov/42759527/</w:t>
      </w:r>
    </w:p>
    <w:p>
      <w:pPr>
        <w:pStyle w:val="Heading2"/>
      </w:pPr>
      <w:r>
        <w:t>Symptom-Belastung in Krebspatienten korreliert mit geringerer Therapie- und höherer Supportiv-Kostennutzung</w:t>
      </w:r>
    </w:p>
    <w:p>
      <w:r>
        <w:rPr>
          <w:i/>
          <w:color w:val="666666"/>
          <w:sz w:val="18"/>
        </w:rPr>
        <w:t>Hirpara DH et al.  ·  J Clin Oncol  ·  18.09.2026  ·  PMID 42758960</w:t>
      </w:r>
    </w:p>
    <w:p>
      <w:r>
        <w:t>Populationsbasierte Kohortenstudie aus Ontario, Kanada: 285.924 Krebspatienten mit 1.728.025 ESAS-Assessments (Edmonton Symptom Assessment) zur Assoziation zwischen Patient-Reported Outcomes und Gesundheitskosten.</w:t>
      </w:r>
    </w:p>
    <w:p>
      <w:r>
        <w:rPr>
          <w:b/>
        </w:rPr>
        <w:t xml:space="preserve">Ergebnis: </w:t>
      </w:r>
      <w:r>
        <w:t>Höchste Symptom-Belastung (Müdigkeit, Depression, Wohlbefinden) bei Atem-, HNO-Tumoren. Jede 10-Punkte-Zunahme ESAS-Score: 9,4% weniger Krebs-Therapiekosten (sinkende Therapie-Nutzung), aber 18% mehr Supportiv-Care-Kosten (mehr ED-Besuche, Hauscare). GI/Mamma/ZNS teuerste Entitäten (85–78k CAD/30 Tage). Aktives Symptom-Management könnte Krebs-Therapien fördern und unnötige Supportiv-Kosten senken.</w:t>
      </w:r>
    </w:p>
    <w:p>
      <w:r>
        <w:rPr>
          <w:b/>
          <w:sz w:val="19"/>
        </w:rPr>
        <w:t xml:space="preserve">Übertragbarkeit: </w:t>
      </w:r>
      <w:r>
        <w:rPr>
          <w:sz w:val="19"/>
        </w:rPr>
        <w:t>Kanada, ähnliches Versicherungssystem wie Deutschland; Symptom-Management-Evidenz direkt relevant.</w:t>
      </w:r>
    </w:p>
    <w:p>
      <w:r>
        <w:rPr>
          <w:color w:val="5A7D3A"/>
          <w:sz w:val="18"/>
        </w:rPr>
        <w:t>https://pubmed.ncbi.nlm.nih.gov/42758960/</w:t>
      </w:r>
    </w:p>
    <w:p>
      <w:pPr>
        <w:pStyle w:val="Heading2"/>
      </w:pPr>
      <w:r>
        <w:t>Tyrosinkinasehemmer verbessert Gesamtüberleben bei BCR::ABL1+ AML deutlich</w:t>
      </w:r>
    </w:p>
    <w:p>
      <w:r>
        <w:rPr>
          <w:i/>
          <w:color w:val="666666"/>
          <w:sz w:val="18"/>
        </w:rPr>
        <w:t>Bertoli S et al.  ·  Blood  ·  18.09.2026  ·  PMID 42758645</w:t>
      </w:r>
    </w:p>
    <w:p>
      <w:r>
        <w:t>Multizentrische europäische Studie: 212 Patienten mit de novo BCR::ABL1+ AML wurden retrospektiv analysiert – intensiveChemotherapie (IC) allein oder kombiniert mit Tyrosinkinasehemmer (TKI).</w:t>
      </w:r>
    </w:p>
    <w:p>
      <w:r>
        <w:rPr>
          <w:b/>
        </w:rPr>
        <w:t xml:space="preserve">Ergebnis: </w:t>
      </w:r>
      <w:r>
        <w:t>Mit IC+TKI erreichten 110/123 Patienten (89%) komplette Remission/CRi vs. 52/77 (68%) mit IC allein (p&lt;0,0001). 5-Jahres-Gesamtüberleben: 62,9% (IC+TKI) vs. 38,5% (IC; p&lt;0,0001). Im multivariaten Modell: Odds Ratio für CR/CRi 4,74 (95%-KI 2,17–10,35), Hazard Ratio für Überleben 0,40 (0,27–0,62; p&lt;0,001). TKI-Zusatz ist unabhängiger prognostischer Faktor.</w:t>
      </w:r>
    </w:p>
    <w:p>
      <w:r>
        <w:rPr>
          <w:b/>
          <w:sz w:val="19"/>
        </w:rPr>
        <w:t xml:space="preserve">Übertragbarkeit: </w:t>
      </w:r>
      <w:r>
        <w:rPr>
          <w:sz w:val="19"/>
        </w:rPr>
        <w:t>Französisch-deutsches Konsortium, europäische Versicherungssysteme, direkt übertragbar auf deutsche Kliniken.</w:t>
      </w:r>
    </w:p>
    <w:p>
      <w:r>
        <w:rPr>
          <w:color w:val="5A7D3A"/>
          <w:sz w:val="18"/>
        </w:rPr>
        <w:t>https://pubmed.ncbi.nlm.nih.gov/42758645/</w:t>
      </w:r>
    </w:p>
    <w:p>
      <w:pPr>
        <w:pStyle w:val="Heading2"/>
      </w:pPr>
      <w:r>
        <w:t>Intraoperative Radiotherapie zeigt Lokalrezidiv-Raten vergleichbar mit postoperativen Boost</w:t>
      </w:r>
    </w:p>
    <w:p>
      <w:r>
        <w:rPr>
          <w:i/>
          <w:color w:val="666666"/>
          <w:sz w:val="18"/>
        </w:rPr>
        <w:t>Sarria GR et al.  ·  Strahlenther Onkol  ·  17.09.2026  ·  PMID 42754764</w:t>
      </w:r>
    </w:p>
    <w:p>
      <w:r>
        <w:t>Matched-Pair-Analyse von 400 Brustkrebs-Patientinnen (je 200 mit intraoperativer oder postoperativer EBRT-Boost) mit frühen Hochrisikotumoreneach Brustkrebserhaltender Chirurgie.</w:t>
      </w:r>
    </w:p>
    <w:p>
      <w:r>
        <w:rPr>
          <w:b/>
        </w:rPr>
        <w:t xml:space="preserve">Ergebnis: </w:t>
      </w:r>
      <w:r>
        <w:t>Nach medianer 58-Monate-Nachsorge: Kumulative lokale Rezidiv-Inzidenz 3,5% (IORT) vs. 2,0% (EBRT); HR 1,80 (95%-KI 0,58–5,58; p=0,312, nicht signifikant). Keine Unterschiede bei Lymphknoten-, Fernmetastasen-freiem Überleben oder Gesamtüberleben (alle p&gt;0,6). IORT ist wirksame, gut verträgliche Alternative ohne Kompromisse im Langzeit-Onkologie.</w:t>
      </w:r>
    </w:p>
    <w:p>
      <w:r>
        <w:rPr>
          <w:b/>
          <w:sz w:val="19"/>
        </w:rPr>
        <w:t xml:space="preserve">Übertragbarkeit: </w:t>
      </w:r>
      <w:r>
        <w:rPr>
          <w:sz w:val="19"/>
        </w:rPr>
        <w:t>Deutsche und europäische Zentren, Versicherungssystem unabhängig, direkt übertragbar.</w:t>
      </w:r>
    </w:p>
    <w:p>
      <w:r>
        <w:rPr>
          <w:color w:val="5A7D3A"/>
          <w:sz w:val="18"/>
        </w:rPr>
        <w:t>https://pubmed.ncbi.nlm.nih.gov/42754764/</w:t>
      </w:r>
    </w:p>
    <w:p>
      <w:pPr>
        <w:pStyle w:val="Heading2"/>
      </w:pPr>
      <w:r>
        <w:t>Seltene EGFR-T790M-Keimbahn-Mutation mit Lungenkrebsrisiko in Southern Appalachia identifiziert</w:t>
      </w:r>
    </w:p>
    <w:p>
      <w:r>
        <w:rPr>
          <w:i/>
          <w:color w:val="666666"/>
          <w:sz w:val="18"/>
        </w:rPr>
        <w:t>LoPiccolo J et al.  ·  Science  ·  17.09.2026  ·  PMID 42752144</w:t>
      </w:r>
    </w:p>
    <w:p>
      <w:r>
        <w:t>Große bevölkerungsgenetische Studie (&gt;3,3 Mio. Personen) zur Assoziation der EGFR-T790M-Variante mit Lungenkrebsrisiko.</w:t>
      </w:r>
    </w:p>
    <w:p>
      <w:r>
        <w:rPr>
          <w:b/>
        </w:rPr>
        <w:t xml:space="preserve">Ergebnis: </w:t>
      </w:r>
      <w:r>
        <w:t>EGFR-T790M signifikant mit Lungenkrebsrisiko assoziiert, aber nicht mit 17 anderen Tumoren; Risiko übersteigt Raucher-Risiko, mehrfach höher in Never-Smokern. Geografisch/ancestral: höhere Prävalenz in USA (Southern-Appalachian-Founder-Event 200–225 Jahre ago, Herkunft britisch/irisch). Prävalenz regional deutlich erhöht, betrifft britische, irische und afrikanische Abstammung. Erkannte Hochrisiko-Träger ermöglichen gezielte genetische Tests und Screening-Strategien.</w:t>
      </w:r>
    </w:p>
    <w:p>
      <w:r>
        <w:rPr>
          <w:b/>
          <w:sz w:val="19"/>
        </w:rPr>
        <w:t xml:space="preserve">Übertragbarkeit: </w:t>
      </w:r>
      <w:r>
        <w:rPr>
          <w:sz w:val="19"/>
        </w:rPr>
        <w:t>Transatlantische Studie, Angloamerika-Fokus; für Deutschland gering: regionale Appalachian-Founder-Effekt USA-spezifisch.</w:t>
      </w:r>
    </w:p>
    <w:p>
      <w:r>
        <w:rPr>
          <w:color w:val="5A7D3A"/>
          <w:sz w:val="18"/>
        </w:rPr>
        <w:t>https://pubmed.ncbi.nlm.nih.gov/42752144/</w:t>
      </w:r>
    </w:p>
    <w:p>
      <w:pPr>
        <w:pStyle w:val="Heading2"/>
      </w:pPr>
      <w:r>
        <w:t>Elacestrant zeigt anhaltende Vorteile bei ESR1-mutiertem HR+/HER2– mBC</w:t>
      </w:r>
    </w:p>
    <w:p>
      <w:r>
        <w:rPr>
          <w:i/>
          <w:color w:val="666666"/>
          <w:sz w:val="18"/>
        </w:rPr>
        <w:t>Curigliano G et al.  ·  ESMO Open  ·  14.09.2026  ·  PMID 42735454</w:t>
      </w:r>
    </w:p>
    <w:p>
      <w:r>
        <w:t>Real-World-Analyse von 281 Patientinnen mit HR+/HER2-negativ ESR1-mutiertem metastasiertem Brustkrebs nach ≥1 Linie endokriner Therapie plus CDK4/6-Hemmer.</w:t>
      </w:r>
    </w:p>
    <w:p>
      <w:r>
        <w:rPr>
          <w:b/>
        </w:rPr>
        <w:t xml:space="preserve">Ergebnis: </w:t>
      </w:r>
      <w:r>
        <w:t>Medianer Zeitpunkt bis nächste Therapie: 8,2 Monate (95%-KI 6,0–12,2) in Gruppe mit 1–2 Linien ET+CDK4/6i (n=108); 9,0 Monate bei ≥12-monatiger Vortherapie (n=85; 95%-KI 7,7–13,7). Mit nur 1 Vorlinientherapie: 12,2 Monate (95%-KI 9,0-nicht erreicht; n=31). Leber-/Lungenmets: 6,9 Monate; Gehirnmets: 7,4 Monate. Koexistente ESR1+PI3K-Mutation: 6,1 Monate. Durable Vorteile unterstützen Elacestrant als Erst-Option für endokrin-sensitive HR+ ESR1-mutierte Tumoren.</w:t>
      </w:r>
    </w:p>
    <w:p>
      <w:r>
        <w:rPr>
          <w:b/>
          <w:sz w:val="19"/>
        </w:rPr>
        <w:t xml:space="preserve">Übertragbarkeit: </w:t>
      </w:r>
      <w:r>
        <w:rPr>
          <w:sz w:val="19"/>
        </w:rPr>
        <w:t>Europäische und kanadische Zentren, vergleichbares Versicherungssystem, breiter anwendbar.</w:t>
      </w:r>
    </w:p>
    <w:p>
      <w:r>
        <w:rPr>
          <w:color w:val="5A7D3A"/>
          <w:sz w:val="18"/>
        </w:rPr>
        <w:t>https://pubmed.ncbi.nlm.nih.gov/42735454/</w:t>
      </w:r>
    </w:p>
    <w:p>
      <w:pPr>
        <w:pStyle w:val="Heading2"/>
      </w:pPr>
      <w:r>
        <w:t>Thymusbestrahlung bei NSCLC mit höherem Metastasen- und Todesrisiko assoziiert</w:t>
      </w:r>
    </w:p>
    <w:p>
      <w:r>
        <w:rPr>
          <w:i/>
          <w:color w:val="666666"/>
          <w:sz w:val="18"/>
        </w:rPr>
        <w:t>Prudente V et al.  ·  Ann Oncol  ·  25.08.2026  ·  PMID 42641684</w:t>
      </w:r>
    </w:p>
    <w:p>
      <w:r>
        <w:t>Multikohorten-Analyse von 1.107 NSCLC-Patienten (RTOG-0617 und zwei Real-World-Kohorten) zur Auswirkung akzidenteller Thymusbestrahlung auf Outcome.</w:t>
      </w:r>
    </w:p>
    <w:p>
      <w:r>
        <w:rPr>
          <w:b/>
        </w:rPr>
        <w:t xml:space="preserve">Ergebnis: </w:t>
      </w:r>
      <w:r>
        <w:t>Mittlere Thymusdosis (MTD) von 1 Gy assoziiert mit 1,57–4,21% erhöhtem Distanzmetastasen-Risiko (RTOG: aHR 1,29, p=0,0028; Harvard-CRT: aHR 1,33, p=0,011; Harvard-Durva: aHR 1,95, p=0,007). Patienten mit erhaltenem Thymus vorher besonders gefährdet. Nach 1 Jahr: Dosis-abhängiger Thymusfunktions-Verlust und niedrigere Lymphozytenzahlen. Neuplanuung-Machbarkeitsstudie zeigte thymussparing möglich ohne Tumorüberdeckungs-Verlust.</w:t>
      </w:r>
    </w:p>
    <w:p>
      <w:r>
        <w:rPr>
          <w:b/>
          <w:sz w:val="19"/>
        </w:rPr>
        <w:t xml:space="preserve">Übertragbarkeit: </w:t>
      </w:r>
      <w:r>
        <w:rPr>
          <w:sz w:val="19"/>
        </w:rPr>
        <w:t>USA-Daten, aber biologischer Mechanismus universal; deutsche Zentren können Planung adaptieren.</w:t>
      </w:r>
    </w:p>
    <w:p>
      <w:r>
        <w:rPr>
          <w:color w:val="5A7D3A"/>
          <w:sz w:val="18"/>
        </w:rPr>
        <w:t>https://pubmed.ncbi.nlm.nih.gov/42641684/</w:t>
      </w:r>
    </w:p>
    <w:p>
      <w:pPr>
        <w:pStyle w:val="Heading1"/>
      </w:pPr>
      <w:r>
        <w:t>Aufgenommen am 18.09.2026</w:t>
      </w:r>
    </w:p>
    <w:p>
      <w:pPr>
        <w:pStyle w:val="Heading2"/>
      </w:pPr>
      <w:r>
        <w:t>Perfluorheptansäure (PFHpA) erhöht Leberkrebsrisiko: Fallkontrollstudie</w:t>
      </w:r>
    </w:p>
    <w:p>
      <w:r>
        <w:rPr>
          <w:i/>
          <w:color w:val="666666"/>
          <w:sz w:val="18"/>
        </w:rPr>
        <w:t>Watling CZ et al.  ·  J Natl Cancer Inst  ·  17.09.2026  ·  PMID 42752878</w:t>
      </w:r>
    </w:p>
    <w:p>
      <w:r>
        <w:t>Verschachtelte Fall-Kontroll-Studie in 12 prospektiven US-Kohorten (853 Fälle, 853 Kontrollen) zur Assoziation von Per- und Polyfluoralkylverbindungen (PFAS) ausser PFOS, PFOA, PFHxS mit Leberkrebs (Prävention).</w:t>
      </w:r>
    </w:p>
    <w:p>
      <w:r>
        <w:rPr>
          <w:b/>
        </w:rPr>
        <w:t xml:space="preserve">Ergebnis: </w:t>
      </w:r>
      <w:r>
        <w:t>Perfluorheptansäure (PFHpA) positiv mit Leberkrebsrisiko assoziiert: Odds Ratio 1,78 (95%-KI 1,26-2,52). Stärkere Assoziation bei Männern (OR 3,72), HCC (4,53), ≤10 Jahre nach Blutentnahme (3,17). Andere PFAS ohne Assoziation.</w:t>
      </w:r>
    </w:p>
    <w:p>
      <w:r>
        <w:rPr>
          <w:b/>
          <w:sz w:val="19"/>
        </w:rPr>
        <w:t xml:space="preserve">Übertragbarkeit: </w:t>
      </w:r>
      <w:r>
        <w:rPr>
          <w:sz w:val="19"/>
        </w:rPr>
        <w:t>USA-Bevölkerungsdaten; Kurzkettige-PFAS persistieren auch in Europrodukten.</w:t>
      </w:r>
    </w:p>
    <w:p>
      <w:r>
        <w:rPr>
          <w:color w:val="5A7D3A"/>
          <w:sz w:val="18"/>
        </w:rPr>
        <w:t>https://pubmed.ncbi.nlm.nih.gov/42752878/</w:t>
      </w:r>
    </w:p>
    <w:p>
      <w:pPr>
        <w:pStyle w:val="Heading2"/>
      </w:pPr>
      <w:r>
        <w:t>Zolbetuximab versus Immune Checkpoint Inhibitoren bei claudin-18.2-positivem Magenkrebs</w:t>
      </w:r>
    </w:p>
    <w:p>
      <w:r>
        <w:rPr>
          <w:i/>
          <w:color w:val="666666"/>
          <w:sz w:val="18"/>
        </w:rPr>
        <w:t>Shitara K et al.  ·  ESMO Open  ·  16.09.2026  ·  PMID 42748508</w:t>
      </w:r>
    </w:p>
    <w:p>
      <w:r>
        <w:t>Netzwerk-Metaanalyse vergleicht Zolbetuximab plus Chemotherapie mit ICI-basierter Therapie nach PD-L1-CPS-Subgruppen bei fortgeschrittenem Magen-/gastro-ösophagealem Adenokarzinom in ersten Therapielinie.</w:t>
      </w:r>
    </w:p>
    <w:p>
      <w:r>
        <w:rPr>
          <w:b/>
        </w:rPr>
        <w:t xml:space="preserve">Ergebnis: </w:t>
      </w:r>
      <w:r>
        <w:t>Bei PD-L1 CPS ≥1 bis &lt;10 ähnliche oder numerisch günstigere Effekte für Zolbetuximab auf Overall Survival und Progression-Free Survival versus ICIs. Bei CPS ≥10 numerisch vorteilhaft für ICIs, aber mit optimalisierter Zolbetuximab-Exposition vergleichbar.</w:t>
      </w:r>
    </w:p>
    <w:p>
      <w:r>
        <w:rPr>
          <w:b/>
          <w:sz w:val="19"/>
        </w:rPr>
        <w:t xml:space="preserve">Übertragbarkeit: </w:t>
      </w:r>
      <w:r>
        <w:rPr>
          <w:sz w:val="19"/>
        </w:rPr>
        <w:t>Indirekte Vergleiche; biomarker-informierter Ansatz unterstützt, Bestätigung durch prospektive Studien erforderlich.</w:t>
      </w:r>
    </w:p>
    <w:p>
      <w:r>
        <w:rPr>
          <w:color w:val="5A7D3A"/>
          <w:sz w:val="18"/>
        </w:rPr>
        <w:t>https://pubmed.ncbi.nlm.nih.gov/42748508/</w:t>
      </w:r>
    </w:p>
    <w:p>
      <w:pPr>
        <w:pStyle w:val="Heading2"/>
      </w:pPr>
      <w:r>
        <w:t>Achtsamkeit und Tai Chi verbessern Schlaf, Fatigue und Schmerz nach Krebsbehandlung</w:t>
      </w:r>
    </w:p>
    <w:p>
      <w:r>
        <w:rPr>
          <w:i/>
          <w:color w:val="666666"/>
          <w:sz w:val="18"/>
        </w:rPr>
        <w:t>Ma Y et al.  ·  J Clin Oncol  ·  16.09.2026  ·  PMID 42748380</w:t>
      </w:r>
    </w:p>
    <w:p>
      <w:r>
        <w:t>Teilweise randomisierte Patient-Choice-Studie (Mindfulness and Tai Chi for Cancer Health, MATCH) mit 587 Krebsüberlebenden (Durchschnittsalter 60,7 Jahre) zur Wirkung von Achtsamkeitsbasierter Krebsgenesungsgruppe (MBCR) oder Tai Chi/Qigong (TCQ) versus Warteliste auf Schlaf, Fatigue und Schmerz.</w:t>
      </w:r>
    </w:p>
    <w:p>
      <w:r>
        <w:rPr>
          <w:b/>
        </w:rPr>
        <w:t xml:space="preserve">Ergebnis: </w:t>
      </w:r>
      <w:r>
        <w:t>TCQ vs Warteliste: Schlafqualität 1,9 Punkte Verbesserung (p=0,004). MBCR und TCQ vs Warteliste: Fatigue jeweils 3,66 und 3,42 Punkte besser (MBCR p=0,036, TCQ p=0,043). Schmerzbeeinträchtigung &gt;1 Punkt Verbesserung (MBCR p=0,029, TCQ p=0,002). MBCR und TCQ unterschieden sich nicht.</w:t>
      </w:r>
    </w:p>
    <w:p>
      <w:r>
        <w:rPr>
          <w:b/>
          <w:sz w:val="19"/>
        </w:rPr>
        <w:t xml:space="preserve">Übertragbarkeit: </w:t>
      </w:r>
      <w:r>
        <w:rPr>
          <w:sz w:val="19"/>
        </w:rPr>
        <w:t>Kanadisch-amerikanische Studie; psychosoziale Nachsorge übertragbar auf deutsche Zentren.</w:t>
      </w:r>
    </w:p>
    <w:p>
      <w:r>
        <w:rPr>
          <w:color w:val="5A7D3A"/>
          <w:sz w:val="18"/>
        </w:rPr>
        <w:t>https://pubmed.ncbi.nlm.nih.gov/42748380/</w:t>
      </w:r>
    </w:p>
    <w:p>
      <w:pPr>
        <w:pStyle w:val="Heading2"/>
      </w:pPr>
      <w:r>
        <w:t>Wachsendes Krebsaufkommen in Afrika 2023: Kinder, Jugendliche, junge Erwachsene stark betroffen</w:t>
      </w:r>
    </w:p>
    <w:p>
      <w:r>
        <w:rPr>
          <w:i/>
          <w:color w:val="666666"/>
          <w:sz w:val="18"/>
        </w:rPr>
        <w:t>GBD 2023 Africa Cancer Risk Factors Collaborators  ·  Lancet Oncol  ·  15.09.2026  ·  PMID 42743938</w:t>
      </w:r>
    </w:p>
    <w:p>
      <w:r>
        <w:t>Global Burden of Disease Study 2023 zu Krebsinzidenz, -mortalität und Behinderungsbereinigten Lebensjahren (DALYs) in 54 afrikanischen Ländern, 1990-2023; Analyse von 48 Krebsentitäten und 88 Risikofaktoren.</w:t>
      </w:r>
    </w:p>
    <w:p>
      <w:r>
        <w:rPr>
          <w:b/>
        </w:rPr>
        <w:t xml:space="preserve">Ergebnis: </w:t>
      </w:r>
      <w:r>
        <w:t>2023: 1,54 Mio. neue Fälle (95%-UI 1,37-1,75), 923 000 Todesfälle (824 000-1 020 000), 33,9 Mio. DALYs in Afrika. Kinder 0-19 Jahre: 104 000 Fälle (27,7% global), 38,0% globaler Todesfälle. 31,6% DALYs attributiv modifiable Risikofaktoren.</w:t>
      </w:r>
    </w:p>
    <w:p>
      <w:r>
        <w:rPr>
          <w:b/>
          <w:sz w:val="19"/>
        </w:rPr>
        <w:t xml:space="preserve">Übertragbarkeit: </w:t>
      </w:r>
      <w:r>
        <w:rPr>
          <w:sz w:val="19"/>
        </w:rPr>
        <w:t>Bevölkerungsdaten aus 54 Ländern, primär für Gesundheitspolitik und Ressourcenplanung in Afrika relevant.</w:t>
      </w:r>
    </w:p>
    <w:p>
      <w:r>
        <w:rPr>
          <w:color w:val="5A7D3A"/>
          <w:sz w:val="18"/>
        </w:rPr>
        <w:t>https://pubmed.ncbi.nlm.nih.gov/42743938/</w:t>
      </w:r>
    </w:p>
    <w:p>
      <w:pPr>
        <w:pStyle w:val="Heading2"/>
      </w:pPr>
      <w:r>
        <w:t>Perioperatives Durvalumab plus FLOT verlängert Gesamtüberleben bei resektablem Magenkrebs</w:t>
      </w:r>
    </w:p>
    <w:p>
      <w:r>
        <w:rPr>
          <w:i/>
          <w:color w:val="666666"/>
          <w:sz w:val="18"/>
        </w:rPr>
        <w:t>Janjigian YY et al.  ·  Lancet  ·  19.09.2026  ·  PMID 42716074</w:t>
      </w:r>
    </w:p>
    <w:p>
      <w:r>
        <w:t>Randomisierte Phase-3-Studie zur Wirkung von Durvalumab (Immune Checkpoint Inhibitor) plus perioperativer Chemotherapie (FLOT) versus Placebo plus FLOT bei 948 Patienten mit resektablem Magenkarzinom (Stadium II-IVa).</w:t>
      </w:r>
    </w:p>
    <w:p>
      <w:r>
        <w:rPr>
          <w:b/>
        </w:rPr>
        <w:t xml:space="preserve">Ergebnis: </w:t>
      </w:r>
      <w:r>
        <w:t>Gesamtüberleben (Overall Survival) signifikant verbessert mit Durvalumab: Hazard Ratio 0,78 (95%-KI 0,63-0,96; p=0,021). Die Therapie ist neue Standardoption für resektables Magen- und gastro-ösophageales Adenokarzinom.</w:t>
      </w:r>
    </w:p>
    <w:p>
      <w:r>
        <w:rPr>
          <w:b/>
          <w:sz w:val="19"/>
        </w:rPr>
        <w:t xml:space="preserve">Übertragbarkeit: </w:t>
      </w:r>
      <w:r>
        <w:rPr>
          <w:sz w:val="19"/>
        </w:rPr>
        <w:t>Globale Studie in 147 Zentren, vergleichbare Studiendesign wie in deutschem System relevant.</w:t>
      </w:r>
    </w:p>
    <w:p>
      <w:r>
        <w:rPr>
          <w:color w:val="5A7D3A"/>
          <w:sz w:val="18"/>
        </w:rPr>
        <w:t>https://pubmed.ncbi.nlm.nih.gov/42716074/</w:t>
      </w:r>
    </w:p>
    <w:p>
      <w:pPr>
        <w:pStyle w:val="Heading2"/>
      </w:pPr>
      <w:r>
        <w:t>Zehnjahresüberleben nach Brustkrebs nach Stadium, molekularem Subtyp und Grad kombiniert</w:t>
      </w:r>
    </w:p>
    <w:p>
      <w:r>
        <w:rPr>
          <w:i/>
          <w:color w:val="666666"/>
          <w:sz w:val="18"/>
        </w:rPr>
        <w:t>Giudici F et al.  ·  Oncologist  ·  09.09.2026  ·  PMID 42640557</w:t>
      </w:r>
    </w:p>
    <w:p>
      <w:r>
        <w:t>Populationsbasierte Kohortenstudie aus der Friuli-Venezia-Giulia-Krebsregisters (Nordostitalien) mit 10 467 Frauen &lt;75 Jahre, diagnostiziert 2004-2014; Verfolgung bis 2023.</w:t>
      </w:r>
    </w:p>
    <w:p>
      <w:r>
        <w:rPr>
          <w:b/>
        </w:rPr>
        <w:t xml:space="preserve">Ergebnis: </w:t>
      </w:r>
      <w:r>
        <w:t>Höchstes Gesamtüberleben (10-Jahres-Nettoüberleben) bei Stadium I HR+/HER2-: 98,8%. Tiefste bei Stadium III Triple-Negativ: 35,1%. Stadium IV Triple-Negativ: 6,7% vs HR-/HER2+: 18,9%. Vergleich 2004-2009 vs 2010-2014: Verbesserung bei Stadium III HR-/HER2+ von 48,6% auf 87,9% (+39 Prozentpunkte), Stadium III Triple-Negativ 28,8% auf 42,3%.</w:t>
      </w:r>
    </w:p>
    <w:p>
      <w:r>
        <w:rPr>
          <w:b/>
          <w:sz w:val="19"/>
        </w:rPr>
        <w:t xml:space="preserve">Übertragbarkeit: </w:t>
      </w:r>
      <w:r>
        <w:rPr>
          <w:sz w:val="19"/>
        </w:rPr>
        <w:t>Italienisches (europäisches) Krebsregister, vergleichbar mit deutschem System und Dokumentation.</w:t>
      </w:r>
    </w:p>
    <w:p>
      <w:r>
        <w:rPr>
          <w:color w:val="5A7D3A"/>
          <w:sz w:val="18"/>
        </w:rPr>
        <w:t>https://pubmed.ncbi.nlm.nih.gov/42640557/</w:t>
      </w:r>
    </w:p>
    <w:p>
      <w:pPr>
        <w:pStyle w:val="Heading1"/>
      </w:pPr>
      <w:r>
        <w:t>Aufgenommen am 17.09.2026</w:t>
      </w:r>
    </w:p>
    <w:p>
      <w:pPr>
        <w:pStyle w:val="Heading2"/>
      </w:pPr>
      <w:r>
        <w:t>eHealth-Intervention (CUMACA-M) stabilisiert Lebensqualität von Brustkrebsüberlebenden über 9 Monate</w:t>
      </w:r>
    </w:p>
    <w:p>
      <w:r>
        <w:rPr>
          <w:i/>
          <w:color w:val="666666"/>
          <w:sz w:val="18"/>
        </w:rPr>
        <w:t>J Natl Cancer Inst  ·  2026  ·  PMID djag328</w:t>
      </w:r>
    </w:p>
    <w:p>
      <w:r>
        <w:t>Spanische randomisierte Kontrollstudie mit 201 krankheitsfreien Brustkrebsüberlebenden (≥5 Jahre nach Diagnose), 9-Monate-eHealth-Intervention vs. Standardcare.</w:t>
      </w:r>
    </w:p>
    <w:p>
      <w:r>
        <w:rPr>
          <w:b/>
        </w:rPr>
        <w:t xml:space="preserve">Ergebnis: </w:t>
      </w:r>
      <w:r>
        <w:t>Gesamtlebensqualität stabil in Interventionsgruppe (5,70→5,69), Rückgang in Kontrolle (5,83→5,57, Δ=-0,26), Differenz 0,24 Punkte (95% CI 0,03-0,44), p=0,024. Psychisches Wohlbefinden Cohen d=0,40, physisches d=0,28.</w:t>
      </w:r>
    </w:p>
    <w:p>
      <w:r>
        <w:rPr>
          <w:b/>
          <w:sz w:val="19"/>
        </w:rPr>
        <w:t xml:space="preserve">Übertragbarkeit: </w:t>
      </w:r>
      <w:r>
        <w:rPr>
          <w:sz w:val="19"/>
        </w:rPr>
        <w:t>Europäisches System (Spanien/öffentliche Versicherung), digitale Nachsorgeintervention für Flächeimplementierung geeignet.</w:t>
      </w:r>
    </w:p>
    <w:p>
      <w:r>
        <w:rPr>
          <w:color w:val="5A7D3A"/>
          <w:sz w:val="18"/>
        </w:rPr>
        <w:t>https://pubmed.ncbi.nlm.nih.gov/djag328/</w:t>
      </w:r>
    </w:p>
    <w:p>
      <w:pPr>
        <w:pStyle w:val="Heading2"/>
      </w:pPr>
      <w:r>
        <w:t>HRS-4642+Adebrelimab bei KRAS-G12D-Pankreas-Ca: 43% Ansprechrate ohne Chemotherapie</w:t>
      </w:r>
    </w:p>
    <w:p>
      <w:r>
        <w:rPr>
          <w:i/>
          <w:color w:val="666666"/>
          <w:sz w:val="18"/>
        </w:rPr>
        <w:t>Shi S et al.  ·  Cancer Cell  ·  16.09.2026  ·  PMID 42748921</w:t>
      </w:r>
    </w:p>
    <w:p>
      <w:r>
        <w:t>Phase-1/2-Studie mit 48 Patienten (davon 37 in der RP2D-Kohorte) mit metastasiertem KRAS-G12D-mutiertem Pankreaskarzinom, chemofrei mit KRAS-inhibitor+PD-L1-Blocker behandelt.</w:t>
      </w:r>
    </w:p>
    <w:p>
      <w:r>
        <w:rPr>
          <w:b/>
        </w:rPr>
        <w:t xml:space="preserve">Ergebnis: </w:t>
      </w:r>
      <w:r>
        <w:t>Bestätigte ORR 43,2% (95% CI 27,1-60,5), Krankheitskontrollrate 81,1%, mediane Progressionsfreihheit 5,7 Monate, medianes Gesamtüberleben 11,5 Monate. Häufigste Nebenwirkungen: Hypercholesterinämie und Anämie je 50%.</w:t>
      </w:r>
    </w:p>
    <w:p>
      <w:r>
        <w:rPr>
          <w:b/>
          <w:sz w:val="19"/>
        </w:rPr>
        <w:t xml:space="preserve">Übertragbarkeit: </w:t>
      </w:r>
      <w:r>
        <w:rPr>
          <w:sz w:val="19"/>
        </w:rPr>
        <w:t>China-Studie, KRAS-Inhibitor nicht europäisch zugelassen, Sicherheitsdaten übertragbar.</w:t>
      </w:r>
    </w:p>
    <w:p>
      <w:r>
        <w:rPr>
          <w:color w:val="5A7D3A"/>
          <w:sz w:val="18"/>
        </w:rPr>
        <w:t>https://pubmed.ncbi.nlm.nih.gov/42748921/</w:t>
      </w:r>
    </w:p>
    <w:p>
      <w:pPr>
        <w:pStyle w:val="Heading2"/>
      </w:pPr>
      <w:r>
        <w:t>Triplet-Chemotherapie bei fortgeschrittenem Pankreas-Ca: 63% Ansprechrate, 60% Konversion</w:t>
      </w:r>
    </w:p>
    <w:p>
      <w:r>
        <w:rPr>
          <w:i/>
          <w:color w:val="666666"/>
          <w:sz w:val="18"/>
        </w:rPr>
        <w:t>Nagatani Y et al.  ·  Eur J Cancer  ·  10.09.2026  ·  PMID 42748587</w:t>
      </w:r>
    </w:p>
    <w:p>
      <w:r>
        <w:t>Japanische Phase-II-Multicenterstudie mit 30 Patienten, gesamte Chemotherapie (Gemcitabin, nab-Paclitaxel) mit oralem S-1 kombiniert.</w:t>
      </w:r>
    </w:p>
    <w:p>
      <w:r>
        <w:rPr>
          <w:b/>
        </w:rPr>
        <w:t xml:space="preserve">Ergebnis: </w:t>
      </w:r>
      <w:r>
        <w:t>ORR 63,3% (primärer Endpunkt erreicht), Krankheitskontrollrate 86,7%, medianes progressionsfreies Überleben 9,0 Monate, medianes Gesamtüberleben 15,0 Monate. 60% der lokalfortgeschrittenen Patienten zur Resektabilität konvertiert.</w:t>
      </w:r>
    </w:p>
    <w:p>
      <w:r>
        <w:rPr>
          <w:b/>
          <w:sz w:val="19"/>
        </w:rPr>
        <w:t xml:space="preserve">Übertragbarkeit: </w:t>
      </w:r>
      <w:r>
        <w:rPr>
          <w:sz w:val="19"/>
        </w:rPr>
        <w:t>Japanische Daten, S-1 in Deutschland verfügbar, Triplet potenziell praxisrelevant.</w:t>
      </w:r>
    </w:p>
    <w:p>
      <w:r>
        <w:rPr>
          <w:color w:val="5A7D3A"/>
          <w:sz w:val="18"/>
        </w:rPr>
        <w:t>https://pubmed.ncbi.nlm.nih.gov/42748587/</w:t>
      </w:r>
    </w:p>
    <w:p>
      <w:pPr>
        <w:pStyle w:val="Heading2"/>
      </w:pPr>
      <w:r>
        <w:t>Pembrolizumab bei Magenkarzinom: Überlebensvorteil 12,9 vs. 11,5 Monate bestätigt</w:t>
      </w:r>
    </w:p>
    <w:p>
      <w:r>
        <w:rPr>
          <w:i/>
          <w:color w:val="666666"/>
          <w:sz w:val="18"/>
        </w:rPr>
        <w:t>Rha SY et al.  ·  ESMO Open  ·  16.09.2026  ·  PMID 42748509</w:t>
      </w:r>
    </w:p>
    <w:p>
      <w:r>
        <w:t>Randomisierte Phase-III-Studie (KEYNOTE-859) mit 1.579 Patienten mit HER2-negativem lokal fortgeschrittenem/metastasiertem Magen-GÖJ-Adenokarzinom; 4,5-Jahre-Follow-up.</w:t>
      </w:r>
    </w:p>
    <w:p>
      <w:r>
        <w:rPr>
          <w:b/>
        </w:rPr>
        <w:t xml:space="preserve">Ergebnis: </w:t>
      </w:r>
      <w:r>
        <w:t>Median Overall Survival 12,9 Monate (Pembrolizumab+Chemotherapie) vs. 11,5 Monate (Placebo+Chemotherapie), Hazard Ratio 0,78 (95% CI 0,70-0,86). Grade-3/4-Nebenwirkungen 58,3% vs. 49,3%.</w:t>
      </w:r>
    </w:p>
    <w:p>
      <w:r>
        <w:rPr>
          <w:b/>
          <w:sz w:val="19"/>
        </w:rPr>
        <w:t xml:space="preserve">Übertragbarkeit: </w:t>
      </w:r>
      <w:r>
        <w:rPr>
          <w:sz w:val="19"/>
        </w:rPr>
        <w:t>Globale Studie, europäische und asiatische Zentren, vergleichbare Versorgung.</w:t>
      </w:r>
    </w:p>
    <w:p>
      <w:r>
        <w:rPr>
          <w:color w:val="5A7D3A"/>
          <w:sz w:val="18"/>
        </w:rPr>
        <w:t>https://pubmed.ncbi.nlm.nih.gov/42748509/</w:t>
      </w:r>
    </w:p>
    <w:p>
      <w:pPr>
        <w:pStyle w:val="Heading2"/>
      </w:pPr>
      <w:r>
        <w:t>Blinatumomab ersetzt Chemotherapie in hochrisiko-ALL: 83% ereignisfreies Überleben</w:t>
      </w:r>
    </w:p>
    <w:p>
      <w:r>
        <w:rPr>
          <w:i/>
          <w:color w:val="666666"/>
          <w:sz w:val="18"/>
        </w:rPr>
        <w:t>Schrappe M et al.  ·  N Engl J Med  ·  17.09.2026  ·  PMID 42748428</w:t>
      </w:r>
    </w:p>
    <w:p>
      <w:r>
        <w:t>Randomisierte europäisch-internationale Studie bei 358 Kindern mit neu diagnostizierter B-ALL, die statt zwei Chemotherapie-Zyklen zwei Blinatumomab-Zyklen erhielten.</w:t>
      </w:r>
    </w:p>
    <w:p>
      <w:r>
        <w:rPr>
          <w:b/>
        </w:rPr>
        <w:t xml:space="preserve">Ergebnis: </w:t>
      </w:r>
      <w:r>
        <w:t>4-Jahres-Ereignisfreiheit 83,0% (Blinatumomab) vs. 70,3% (Kontrolle), Hazard Ratio 0,51, p=0,0002. Behandlungsbedingte Infektionen: 23,9% vs. 69,4%, lebensbedrohliche Ereignisse 0,5% vs. 4,7%.</w:t>
      </w:r>
    </w:p>
    <w:p>
      <w:r>
        <w:rPr>
          <w:b/>
          <w:sz w:val="19"/>
        </w:rPr>
        <w:t xml:space="preserve">Übertragbarkeit: </w:t>
      </w:r>
      <w:r>
        <w:rPr>
          <w:sz w:val="19"/>
        </w:rPr>
        <w:t>Deutsches/österreichisches Zentrumsprotokoll (BFM-ALL 2017), direkte Übertragung möglich.</w:t>
      </w:r>
    </w:p>
    <w:p>
      <w:r>
        <w:rPr>
          <w:color w:val="5A7D3A"/>
          <w:sz w:val="18"/>
        </w:rPr>
        <w:t>https://pubmed.ncbi.nlm.nih.gov/42748428/</w:t>
      </w:r>
    </w:p>
    <w:p>
      <w:pPr>
        <w:pStyle w:val="Heading2"/>
      </w:pPr>
      <w:r>
        <w:t>Fünfjährliche statt dreijährliche Koloskopie nach Adenomektomie: Nichtunterlegenheit bestätigt</w:t>
      </w:r>
    </w:p>
    <w:p>
      <w:r>
        <w:rPr>
          <w:i/>
          <w:color w:val="666666"/>
          <w:sz w:val="18"/>
        </w:rPr>
        <w:t>Jover R et al.  ·  N Engl J Med  ·  17.09.2026  ·  PMID 42748427</w:t>
      </w:r>
    </w:p>
    <w:p>
      <w:r>
        <w:t>Europäische Nichtunterlegenheitsstudie mit 10.799 Patienten nach Hochrisiko-Adenomektomie, randomisiert zu erste Surveillance nach 5 vs. 3 Jahren.</w:t>
      </w:r>
    </w:p>
    <w:p>
      <w:r>
        <w:rPr>
          <w:b/>
        </w:rPr>
        <w:t xml:space="preserve">Ergebnis: </w:t>
      </w:r>
      <w:r>
        <w:t>5-Jahres-Darmkrebsinzidenz 0,77% (5-jährig) vs. 0,82% (3-jährig), Nichtunterlegenheitsgrenze erreicht. Krebstodesfälle: 0,06% vs. 0,04%.</w:t>
      </w:r>
    </w:p>
    <w:p>
      <w:r>
        <w:rPr>
          <w:b/>
          <w:sz w:val="19"/>
        </w:rPr>
        <w:t xml:space="preserve">Übertragbarkeit: </w:t>
      </w:r>
      <w:r>
        <w:rPr>
          <w:sz w:val="19"/>
        </w:rPr>
        <w:t>Europäisches Studiendesign (Spanien, Norwegen, Polen, Dänemark), Nachsorgeleitlinien unmittelbar anwendbar.</w:t>
      </w:r>
    </w:p>
    <w:p>
      <w:r>
        <w:rPr>
          <w:color w:val="5A7D3A"/>
          <w:sz w:val="18"/>
        </w:rPr>
        <w:t>https://pubmed.ncbi.nlm.nih.gov/42748427/</w:t>
      </w:r>
    </w:p>
    <w:p>
      <w:pPr>
        <w:pStyle w:val="Heading1"/>
      </w:pPr>
      <w:r>
        <w:t>Aufgenommen am 16.09.2026</w:t>
      </w:r>
    </w:p>
    <w:p>
      <w:pPr>
        <w:pStyle w:val="Heading2"/>
      </w:pPr>
      <w:r>
        <w:t>Waldbrand-Feinstaub verstärkt Sterblichkeit von Lungenkrebspatienten um 78 % pro μg/m³</w:t>
      </w:r>
    </w:p>
    <w:p>
      <w:r>
        <w:rPr>
          <w:i/>
          <w:color w:val="666666"/>
          <w:sz w:val="18"/>
        </w:rPr>
        <w:t>Zhang M et al.  ·  Lancet Oncol  ·  15.09.2026  ·  PMID 42743939</w:t>
      </w:r>
    </w:p>
    <w:p>
      <w:r>
        <w:t>Retrospektive Kohortenstudie mit 414.016 älteren Lungenkrebspatienten aus SEER-Medicare (2006–2019) untersuchte die Auswirkung langfristiger Exposition gegenüber Waldbrand-assoziiertem PM2,5 vs. Nicht-Waldbrand-PM2,5 auf Overall Survival.</w:t>
      </w:r>
    </w:p>
    <w:p>
      <w:r>
        <w:rPr>
          <w:b/>
        </w:rPr>
        <w:t xml:space="preserve">Ergebnis: </w:t>
      </w:r>
      <w:r>
        <w:t>Jeder 1-μg/m³-Anstieg Waldbrand-PM2,5 war mit HR 1,0782 (95%-KI 1,0641–1,0924; p&lt;0,0001) für erhöhte Mortalität assoziiert, nicht-Waldbrand-PM2,5 mit HR 1,0171. Insgesamt 696 (95%-KI 576–814) durchschnittliche jährliche überschüssige Todesfälle waren der Waldbrand-Exposition zuzuordnen – pro Einheit toxischer als reguläre Luftverschmutzung.</w:t>
      </w:r>
    </w:p>
    <w:p>
      <w:r>
        <w:rPr>
          <w:b/>
          <w:sz w:val="19"/>
        </w:rPr>
        <w:t xml:space="preserve">Übertragbarkeit: </w:t>
      </w:r>
      <w:r>
        <w:rPr>
          <w:sz w:val="19"/>
        </w:rPr>
        <w:t>USA/SEER-Daten: Nur Sicherheitsbefund übertragbar, Feinstaub-Exposition in Deutschland gering</w:t>
      </w:r>
    </w:p>
    <w:p>
      <w:r>
        <w:rPr>
          <w:color w:val="5A7D3A"/>
          <w:sz w:val="18"/>
        </w:rPr>
        <w:t>https://pubmed.ncbi.nlm.nih.gov/42743939/</w:t>
      </w:r>
    </w:p>
    <w:p>
      <w:pPr>
        <w:pStyle w:val="Heading2"/>
      </w:pPr>
      <w:r>
        <w:t>Nach Neoadjuvant-Therapie mit Triplet: Adjuvante Chemotherapie hilft nur bei ypN+/CRT, nicht bei TNT</w:t>
      </w:r>
    </w:p>
    <w:p>
      <w:r>
        <w:rPr>
          <w:i/>
          <w:color w:val="666666"/>
          <w:sz w:val="18"/>
        </w:rPr>
        <w:t>Denost Q et al.  ·  Eur J Cancer  ·  11.09.2026  ·  PMID 42743888</w:t>
      </w:r>
    </w:p>
    <w:p>
      <w:r>
        <w:t>Post-hoc-Analyse von zwei französischen randomisierten Multizenterstudie (GRECCAR4, PRODIGE23) mit 489 Patienten mit lokal fortgeschrittenem Rektumkarzinom, die den Nutzen adjuvanter Chemotherapie (AC) nach TNT mit FOLFIRINOX vs. CRT bewertete.</w:t>
      </w:r>
    </w:p>
    <w:p>
      <w:r>
        <w:rPr>
          <w:b/>
        </w:rPr>
        <w:t xml:space="preserve">Ergebnis: </w:t>
      </w:r>
      <w:r>
        <w:t>Nach Neoadjuvant-TNT zeigte AC keinen Vorteil in 3-Jahre-DFS für ypN+ (TNT-Arm; p=0,33) oder ypN0/cN+ (p=0,45). Nach CRT profitierten nur ypN+-Patienten: 3-Jahre-DFS verbessert nach AC (TNT: keine; CRT: signifikant; p&lt;0,001), 3-Jahre-OS und -DMFS ebenfalls nur nach CRT signifikant. Diese Daten unterstützen Therapie-Deeskalation in der TNT-Ära.</w:t>
      </w:r>
    </w:p>
    <w:p>
      <w:r>
        <w:rPr>
          <w:b/>
          <w:sz w:val="19"/>
        </w:rPr>
        <w:t xml:space="preserve">Übertragbarkeit: </w:t>
      </w:r>
      <w:r>
        <w:rPr>
          <w:sz w:val="19"/>
        </w:rPr>
        <w:t>Deutschland/Frankreich: Europäische High-Volume-Zentren, deutsches Versicherungssystem vergleichbar</w:t>
      </w:r>
    </w:p>
    <w:p>
      <w:r>
        <w:rPr>
          <w:color w:val="5A7D3A"/>
          <w:sz w:val="18"/>
        </w:rPr>
        <w:t>https://pubmed.ncbi.nlm.nih.gov/42743888/</w:t>
      </w:r>
    </w:p>
    <w:p>
      <w:pPr>
        <w:pStyle w:val="Heading2"/>
      </w:pPr>
      <w:r>
        <w:t>Zirkufierende bakterielle DNA prognostiziert Therapieerfolg bei fortgeschrittenem Bauchspeicheldrüsenkrebs</w:t>
      </w:r>
    </w:p>
    <w:p>
      <w:r>
        <w:rPr>
          <w:i/>
          <w:color w:val="666666"/>
          <w:sz w:val="18"/>
        </w:rPr>
        <w:t>Surendran SA et al.  ·  Eur J Cancer  ·  10.09.2026  ·  PMID 42743886</w:t>
      </w:r>
    </w:p>
    <w:p>
      <w:r>
        <w:t>Studie von 13 + 47 Patienten mit fortgeschrittenem Pankreaskarzinom untersuchte, ob Veränderungen der zirkulierenden freien bakteriellen DNA (cfbDNA) im Serum unter Chemotherapie (FFX oder GnP) den Behandlungserfolg vorhersagen.</w:t>
      </w:r>
    </w:p>
    <w:p>
      <w:r>
        <w:rPr>
          <w:b/>
        </w:rPr>
        <w:t xml:space="preserve">Ergebnis: </w:t>
      </w:r>
      <w:r>
        <w:t>Patienten mit Abfall der cfbDNA unter FFX erreichten 14,3 vs. 2,9 Monate PFS (p&lt;0,001) und 23,2 vs. 8,4 Monate OS (p=0,006). Ein konstanter oder erhöhter cfbDNA-Wert war mit schlechterem OS assoziiert (HR 11,75; 95%-KI 1,87–73,85; p=0,009). Diese Marker-dynamik war aber regimen-abhängig: Bei GnP zeigte der cfbDNA-Rückgang gegenteilige Effekte.</w:t>
      </w:r>
    </w:p>
    <w:p>
      <w:r>
        <w:rPr>
          <w:b/>
          <w:sz w:val="19"/>
        </w:rPr>
        <w:t xml:space="preserve">Übertragbarkeit: </w:t>
      </w:r>
      <w:r>
        <w:rPr>
          <w:sz w:val="19"/>
        </w:rPr>
        <w:t>Deutschland/Österreich: Europäische Krankenhauskohorten mit vergleichbarer Dokumentation</w:t>
      </w:r>
    </w:p>
    <w:p>
      <w:r>
        <w:rPr>
          <w:color w:val="5A7D3A"/>
          <w:sz w:val="18"/>
        </w:rPr>
        <w:t>https://pubmed.ncbi.nlm.nih.gov/42743886/</w:t>
      </w:r>
    </w:p>
    <w:p>
      <w:pPr>
        <w:pStyle w:val="Heading2"/>
      </w:pPr>
      <w:r>
        <w:t>Triplet-Chemotherapie plus Panitumumab in RAS wild-typ mKRK erhält Lebensqualität</w:t>
      </w:r>
    </w:p>
    <w:p>
      <w:r>
        <w:rPr>
          <w:i/>
          <w:color w:val="666666"/>
          <w:sz w:val="18"/>
        </w:rPr>
        <w:t>Klingler TM et al.  ·  Eur J Cancer  ·  11.09.2026  ·  PMID 42743885</w:t>
      </w:r>
    </w:p>
    <w:p>
      <w:r>
        <w:t>Sekundäranalyse der deutschen Phase-II-Studie VOLFI (AIO-KRK 0109) mit 105 randomisierten Patienten, die den Effekt von mFOLFOXIRI + Panitumumab vs. FOLFOXIRI auf Lebensqualität (EORTC QLQ-C30) untersuchte.</w:t>
      </w:r>
    </w:p>
    <w:p>
      <w:r>
        <w:rPr>
          <w:b/>
        </w:rPr>
        <w:t xml:space="preserve">Ergebnis: </w:t>
      </w:r>
      <w:r>
        <w:t>77 Patienten (51 vs. 26) führten ≥1 Lebensqualitäts-Fragebogen aus. Nach 12 Wochen keine statistisch signifikanten Unterschiede in Gesamt-HRQoL oder spezifischen Dimensionen. Patienten mit mFOLFOXIRI + Panitumumab mit Hautotoxizität zeigten trotz Toxizität keine assoziierte Lebensqualitätsverschlechterung. mFOLFOXIRI + Panitumumab war nicht mit schlechterer HRQoL assoziiert.</w:t>
      </w:r>
    </w:p>
    <w:p>
      <w:r>
        <w:rPr>
          <w:b/>
          <w:sz w:val="19"/>
        </w:rPr>
        <w:t xml:space="preserve">Übertragbarkeit: </w:t>
      </w:r>
      <w:r>
        <w:rPr>
          <w:sz w:val="19"/>
        </w:rPr>
        <w:t>Deutschland: Alle Zentren Charité und LMU München – direkt übertragbar</w:t>
      </w:r>
    </w:p>
    <w:p>
      <w:r>
        <w:rPr>
          <w:color w:val="5A7D3A"/>
          <w:sz w:val="18"/>
        </w:rPr>
        <w:t>https://pubmed.ncbi.nlm.nih.gov/42743885/</w:t>
      </w:r>
    </w:p>
    <w:p>
      <w:pPr>
        <w:pStyle w:val="Heading2"/>
      </w:pPr>
      <w:r>
        <w:t>Ältere Brustkrebs-Patienten haben häufiger PIK3CA-Mutationen und höhere Tumorlast</w:t>
      </w:r>
    </w:p>
    <w:p>
      <w:r>
        <w:rPr>
          <w:i/>
          <w:color w:val="666666"/>
          <w:sz w:val="18"/>
        </w:rPr>
        <w:t>Gupta H et al.  ·  ESMO Open  ·  14.09.2026  ·  PMID 42735455</w:t>
      </w:r>
    </w:p>
    <w:p>
      <w:r>
        <w:t>Studie von 2.379 Patienten mit metastasiertem Brustkrebs (853 jung, 1.311 mittleres Alter, 215 älter ≥70 Jahre) verglich Tumor-Genomlandschaft mittels Zielsequenzierung (OncoPanel) nach Altersgruppe.</w:t>
      </w:r>
    </w:p>
    <w:p>
      <w:r>
        <w:rPr>
          <w:b/>
        </w:rPr>
        <w:t xml:space="preserve">Ergebnis: </w:t>
      </w:r>
      <w:r>
        <w:t>Ältere Patienten zeigten höhere Häufigkeit von SNVs in PIK3CA (44%), TP53 (33%), CDH1 (22%). Nach Adjustierung war hohes Alter assoziiert mit mehr PIK3CA-SNVs (OR 1,21; 95%-KI 1,11–1,31; q&lt;0,001), CDH1-SNVs (OR 1,43; 95%-KI 1,21–1,68) und 26% mit ≥10 Mutationen/Mb (vs. 17% bei Jüngsten). Diese Unterschiede waren unabhängig von Tumorsubtyp.</w:t>
      </w:r>
    </w:p>
    <w:p>
      <w:r>
        <w:rPr>
          <w:b/>
          <w:sz w:val="19"/>
        </w:rPr>
        <w:t xml:space="preserve">Übertragbarkeit: </w:t>
      </w:r>
      <w:r>
        <w:rPr>
          <w:sz w:val="19"/>
        </w:rPr>
        <w:t>USA-Klinik: Vergleichbare Versicherungssysteme bei Umsetzung, genomische Testung in Deutschland ebenfalls Standard</w:t>
      </w:r>
    </w:p>
    <w:p>
      <w:r>
        <w:rPr>
          <w:color w:val="5A7D3A"/>
          <w:sz w:val="18"/>
        </w:rPr>
        <w:t>https://pubmed.ncbi.nlm.nih.gov/42735455/</w:t>
      </w:r>
    </w:p>
    <w:p>
      <w:pPr>
        <w:pStyle w:val="Heading2"/>
      </w:pPr>
      <w:r>
        <w:t>Immuntyp-Transition vorhersagt Checkpoint-Inhibitor-Anspruch besser als Ausgangszustand</w:t>
      </w:r>
    </w:p>
    <w:p>
      <w:r>
        <w:rPr>
          <w:i/>
          <w:color w:val="666666"/>
          <w:sz w:val="18"/>
        </w:rPr>
        <w:t>Lin Z et al.  ·  Cancer Cell  ·  14.09.2026  ·  PMID 42679812</w:t>
      </w:r>
    </w:p>
    <w:p>
      <w:r>
        <w:t>Longitudinale Single-Cell-RNA-Sequenzierung von 441 Proben aus 241 Patienten mit zehn Krebsentitäten untersuchte die Umgestaltung der Tumor-Immunmikroumgebung (TIME) unter Checkpoint-Inhibitor-Therapie und entwickelte eine prädiktive Signatur.</w:t>
      </w:r>
    </w:p>
    <w:p>
      <w:r>
        <w:rPr>
          <w:b/>
        </w:rPr>
        <w:t xml:space="preserve">Ergebnis: </w:t>
      </w:r>
      <w:r>
        <w:t>~40% der Tumore wechselten während Therapie zwischen TIME-Subtypen. Der Übergang (nicht der Ausgangszustand) war prognostischer: Günstige Übergänge zu entzündetem oder B-Zell-angereichertem Subtyp korrelierten mit verbessertem Ansprechen und Überleben. Eine 59-Gen-Signatur sagte Ansprechen und Überleben in 1.383 Baseline-Tumoren über 19 unabhängige Kohorten vorher (HR 2,15; KI-range über Publikationen relevant).</w:t>
      </w:r>
    </w:p>
    <w:p>
      <w:r>
        <w:rPr>
          <w:b/>
          <w:sz w:val="19"/>
        </w:rPr>
        <w:t xml:space="preserve">Übertragbarkeit: </w:t>
      </w:r>
      <w:r>
        <w:rPr>
          <w:sz w:val="19"/>
        </w:rPr>
        <w:t>International/Multi-Entity: Prinzipien auf deutsche Zentren mit Liquid Biopsy/Tumorboard anwendbar</w:t>
      </w:r>
    </w:p>
    <w:p>
      <w:r>
        <w:rPr>
          <w:color w:val="5A7D3A"/>
          <w:sz w:val="18"/>
        </w:rPr>
        <w:t>https://pubmed.ncbi.nlm.nih.gov/42679812/</w:t>
      </w:r>
    </w:p>
    <w:p>
      <w:pPr>
        <w:pStyle w:val="Heading1"/>
      </w:pPr>
      <w:r>
        <w:t>Aufgenommen am 15.09.2026</w:t>
      </w:r>
    </w:p>
    <w:p>
      <w:pPr>
        <w:pStyle w:val="Heading2"/>
      </w:pPr>
      <w:r>
        <w:t>HDR-Brachytherapie nach Strahlentherapie bei älteren Rektumkarzinom-Patienten: lokale Kontrolle bei 80 %</w:t>
      </w:r>
    </w:p>
    <w:p>
      <w:r>
        <w:rPr>
          <w:i/>
          <w:color w:val="666666"/>
          <w:sz w:val="18"/>
        </w:rPr>
        <w:t>Kristen A et al.  ·  Strahlenther Onkol  ·  14.09.2026  ·  PMID 42734824</w:t>
      </w:r>
    </w:p>
    <w:p>
      <w:r>
        <w:t>15 ältere/infirme Patienten mit Rektumkarzinom erhielten kombiniert externe Strahlentherapie (30-39 Gy/10-13 Fraktionen) und endorektale Hochdosis-Brachytherapie (12-24 Gy/2-3 Fraktionen); eine organerhaltende Methode für Operationsunfähige.</w:t>
      </w:r>
    </w:p>
    <w:p>
      <w:r>
        <w:rPr>
          <w:b/>
        </w:rPr>
        <w:t xml:space="preserve">Ergebnis: </w:t>
      </w:r>
      <w:r>
        <w:t>Nach 21 Monaten Median-Follow-up erreichten 12 von 15 Patienten (80 %) klinische komplette (n=6) oder nahezu komplette Remission (n=6); 4 Patienten (33 %) entwickelten später lokales Rezidiv, 4 (27 %) Fernmetastasen. Grad-3-Toxizität: 67 % Proktitis, 20 % schwere Rektalblutung (3 Patienten). Sicherheits- und Dosisoptimierungsfragen bleiben, besonders bei Antikoagulation.</w:t>
      </w:r>
    </w:p>
    <w:p>
      <w:r>
        <w:rPr>
          <w:b/>
          <w:sz w:val="19"/>
        </w:rPr>
        <w:t xml:space="preserve">Übertragbarkeit: </w:t>
      </w:r>
      <w:r>
        <w:rPr>
          <w:sz w:val="19"/>
        </w:rPr>
        <w:t>Deutschland, einzelzentrisch; Ansatz für zertifizierte Zentren mit Brachytherapie-Expertise geeignet</w:t>
      </w:r>
    </w:p>
    <w:p>
      <w:r>
        <w:rPr>
          <w:color w:val="5A7D3A"/>
          <w:sz w:val="18"/>
        </w:rPr>
        <w:t>https://pubmed.ncbi.nlm.nih.gov/42734824/</w:t>
      </w:r>
    </w:p>
    <w:p>
      <w:pPr>
        <w:pStyle w:val="Heading2"/>
      </w:pPr>
      <w:r>
        <w:t>Tambotatug Pelitecan (B7-H3-ADC) bei kleinzelligem Lungenkarzinom nach Platin: OS-Vorteil gegenüber Topotekan</w:t>
      </w:r>
    </w:p>
    <w:p>
      <w:r>
        <w:rPr>
          <w:i/>
          <w:color w:val="666666"/>
          <w:sz w:val="18"/>
        </w:rPr>
        <w:t>Zhao Y et al.  ·  N Engl J Med  ·  12.09.2026  ·  PMID 42734213</w:t>
      </w:r>
    </w:p>
    <w:p>
      <w:r>
        <w:t>Phase-III-TAISHAN-302, China: 451 Patienten mit rezidivierendem SCLC nach Platin-basierter Erstlinien-Therapie, randomisiert 1:1 zu Tambotatug Pelitecan (neuer B7-H3-zielgerichteter Antikörper-Wirkstoff-Konjugat) versus Topotekan; Interim-Analyse.</w:t>
      </w:r>
    </w:p>
    <w:p>
      <w:r>
        <w:rPr>
          <w:b/>
        </w:rPr>
        <w:t xml:space="preserve">Ergebnis: </w:t>
      </w:r>
      <w:r>
        <w:t>Median-OS: 13,3 Monate (Tam-Peli) vs. 9,4 Monate (Topotekan), HR 0,46 (95% KI 0,35–0,62, p&lt;0,001). Median-PFS: 7,4 vs. 2,8 Monate, HR 0,29 (p&lt;0,001). ORR: 59,1% vs. 9,7% (p&lt;0,001). Grad-≥3-AE: 55,4% vs. 77,9% (Tam-Peli günstiger). Diese Ergebnisse könnten neuen Standard für rezidiviertes SCLC begründen.</w:t>
      </w:r>
    </w:p>
    <w:p>
      <w:r>
        <w:rPr>
          <w:b/>
          <w:sz w:val="19"/>
        </w:rPr>
        <w:t xml:space="preserve">Übertragbarkeit: </w:t>
      </w:r>
      <w:r>
        <w:rPr>
          <w:sz w:val="19"/>
        </w:rPr>
        <w:t>China-Studie, globales Design; Zulassungsantrag ausstehend, deutsche Verfügbarkeit unklar – USA nur mit Vorbehalt übertragbar</w:t>
      </w:r>
    </w:p>
    <w:p>
      <w:r>
        <w:rPr>
          <w:color w:val="5A7D3A"/>
          <w:sz w:val="18"/>
        </w:rPr>
        <w:t>https://pubmed.ncbi.nlm.nih.gov/42734213/</w:t>
      </w:r>
    </w:p>
    <w:p>
      <w:pPr>
        <w:pStyle w:val="Heading2"/>
      </w:pPr>
      <w:r>
        <w:t>Tumoren unterdrücken T-Zell-Immunität durch Antioxidanzien – PRDX1 als therapeutisches Target</w:t>
      </w:r>
    </w:p>
    <w:p>
      <w:r>
        <w:rPr>
          <w:i/>
          <w:color w:val="666666"/>
          <w:sz w:val="18"/>
        </w:rPr>
        <w:t>Wesolowski AJ et al.  ·  Science  ·  03.09.2026  ·  PMID 42691162</w:t>
      </w:r>
    </w:p>
    <w:p>
      <w:r>
        <w:t>Grundlagenwerk zur Immunsuppression durch tumorales Peroxiredoxin-1 (PRDX1): Forschung zeigt, dass Tumoren Antioxidanzien in ihre Umgebung freisetzen und T-Zellen damit ihrer reaktiven Sauerstoffspezies berauben, was deren Signalübertragung blockiert.</w:t>
      </w:r>
    </w:p>
    <w:p>
      <w:r>
        <w:rPr>
          <w:b/>
        </w:rPr>
        <w:t xml:space="preserve">Ergebnis: </w:t>
      </w:r>
      <w:r>
        <w:t>PRDX1-Mangel in Tumoren verstärkte Antitumor-Immunität und verbesserte Immuntherapie-Antworten in Mausmodellen; Liquid Biopsy könnte PRDX1-Spiegel messen. Der Befund eröffnet neuen therapeutischen Ansatz: PRDX1-Inhibition könnte Immuntherapie-Resistenz überwinden.</w:t>
      </w:r>
    </w:p>
    <w:p>
      <w:r>
        <w:rPr>
          <w:b/>
          <w:sz w:val="19"/>
        </w:rPr>
        <w:t xml:space="preserve">Übertragbarkeit: </w:t>
      </w:r>
      <w:r>
        <w:rPr>
          <w:sz w:val="19"/>
        </w:rPr>
        <w:t>Präklinisch; klinischer Weg unklar, aber identifiziertes Targetprotein (PRDX1) ist actionable für Therapeutika-Entwicklung</w:t>
      </w:r>
    </w:p>
    <w:p>
      <w:r>
        <w:rPr>
          <w:color w:val="5A7D3A"/>
          <w:sz w:val="18"/>
        </w:rPr>
        <w:t>https://pubmed.ncbi.nlm.nih.gov/42691162/</w:t>
      </w:r>
    </w:p>
    <w:p>
      <w:pPr>
        <w:pStyle w:val="Heading2"/>
      </w:pPr>
      <w:r>
        <w:t>Real-World-Evidence zur Zulassung von Krebsmedikamenten: 18 Anträge mit Single-Arm-Trials und RWE, 2022–2025</w:t>
      </w:r>
    </w:p>
    <w:p>
      <w:r>
        <w:rPr>
          <w:i/>
          <w:color w:val="666666"/>
          <w:sz w:val="18"/>
        </w:rPr>
        <w:t>Su L et al.  ·  Oncologist  ·  06.08.2026  ·  PMID 42664160</w:t>
      </w:r>
    </w:p>
    <w:p>
      <w:r>
        <w:t>Analyse von 200 Onkologie-Zulassungen (FDA 134, EMA 66) 2022–2025: 18 Anträge (7 FDA, 11 EMA) kombiniert Single-Arm-Trials mit Real-World-Evidence; meist für Hämatologika (53 %), Hälfte auf elektronischen Krankenhauspflichten basiert.</w:t>
      </w:r>
    </w:p>
    <w:p>
      <w:r>
        <w:rPr>
          <w:b/>
        </w:rPr>
        <w:t xml:space="preserve">Ergebnis: </w:t>
      </w:r>
      <w:r>
        <w:t>RWE diente in 2 Fällen als "substantive evidence", ansonsten als kontextuell/supportiv. Häufige Mängel: kleine Fallzahlen, Population-Heterogenität, fehlende Kovariaten, non-kontempore Vergleiche, Post-hoc-Design. Regulatoren bestätigen methodologische Grenzen; Harmonisierung regulatorischer Guidance ist notwendig.</w:t>
      </w:r>
    </w:p>
    <w:p>
      <w:r>
        <w:rPr>
          <w:b/>
          <w:sz w:val="19"/>
        </w:rPr>
        <w:t xml:space="preserve">Übertragbarkeit: </w:t>
      </w:r>
      <w:r>
        <w:rPr>
          <w:sz w:val="19"/>
        </w:rPr>
        <w:t>USA-Zulassungssystem und EMA; Übertrag auf deutsches AMNOG-Verfahren begrenzt – AMNOG verlangt höhere RCT-Standard</w:t>
      </w:r>
    </w:p>
    <w:p>
      <w:r>
        <w:rPr>
          <w:color w:val="5A7D3A"/>
          <w:sz w:val="18"/>
        </w:rPr>
        <w:t>https://pubmed.ncbi.nlm.nih.gov/42664160/</w:t>
      </w:r>
    </w:p>
    <w:p>
      <w:pPr>
        <w:pStyle w:val="Heading2"/>
      </w:pPr>
      <w:r>
        <w:t>Dosiseskalation (80 Gy) bei Hochrisiko-Prostatakarzinom erhöht 10-Jahres-PFS deutlich</w:t>
      </w:r>
    </w:p>
    <w:p>
      <w:r>
        <w:rPr>
          <w:i/>
          <w:color w:val="666666"/>
          <w:sz w:val="18"/>
        </w:rPr>
        <w:t>Hennequin C et al.  ·  Lancet Oncol  ·  Sept. 2026  ·  PMID 42636837</w:t>
      </w:r>
    </w:p>
    <w:p>
      <w:r>
        <w:t>Französische Phase-III-Studie (GETUG-AFU-18) mit 505 Patienten mit hochrisiko Prostatakarzinom: Vergleich externe Strahlentherapie 80 Gy versus 70 Gy, kombiniert mit Langzeit-Androgenentzug, über 9,5 Jahre Median-Follow-up.</w:t>
      </w:r>
    </w:p>
    <w:p>
      <w:r>
        <w:rPr>
          <w:b/>
        </w:rPr>
        <w:t xml:space="preserve">Ergebnis: </w:t>
      </w:r>
      <w:r>
        <w:t>10-Jahres-PFS: 83,6 % (80-Gy-Arm) vs. 72,2 % (70-Gy-Arm), Hazard Ratio 0,56 (95% KI 0,40–0,78, p&lt;0,0001). 5-Jahres-PFS: 91,4 % vs. 88,1 %. Grad-3-Toxizität akut 24–25 %, spät 7–8 % in beiden Gruppen. Sexuelle und urogenitale Nebenwirkungen waren frequent, aber nicht unterschiedlich.</w:t>
      </w:r>
    </w:p>
    <w:p>
      <w:r>
        <w:rPr>
          <w:b/>
          <w:sz w:val="19"/>
        </w:rPr>
        <w:t xml:space="preserve">Übertragbarkeit: </w:t>
      </w:r>
      <w:r>
        <w:rPr>
          <w:sz w:val="19"/>
        </w:rPr>
        <w:t>Frankreich, vergleichbare Versicherungsstruktur; deutsche S3-Leitlinien zu Hochrisiko-Prostata-Strahlentherapie sollten Dosiseskalation prüfen</w:t>
      </w:r>
    </w:p>
    <w:p>
      <w:r>
        <w:rPr>
          <w:color w:val="5A7D3A"/>
          <w:sz w:val="18"/>
        </w:rPr>
        <w:t>https://pubmed.ncbi.nlm.nih.gov/42636837/</w:t>
      </w:r>
    </w:p>
    <w:p>
      <w:pPr>
        <w:pStyle w:val="Heading2"/>
      </w:pPr>
      <w:r>
        <w:t>Adjuvant Alectinib (600 mg b.i.d. × 24 Monate) bei ALK-positivem NSCLC nach Resektion: verträglicher, Lebensqualität erhalten</w:t>
      </w:r>
    </w:p>
    <w:p>
      <w:r>
        <w:rPr>
          <w:i/>
          <w:color w:val="666666"/>
          <w:sz w:val="18"/>
        </w:rPr>
        <w:t>Dziadziuszko R et al.  ·  Lancet Oncol  ·  Sept. 2026  ·  PMID 42636834</w:t>
      </w:r>
    </w:p>
    <w:p>
      <w:r>
        <w:t>Phase-III-ALINA-Studie, 257 Patienten mit reseziertem ALK+NSCLC (Stadium IB–IIIA): Vergleich Adjuvant-Alectinib versus Platinum-basierte Chemotherapie; Nebenwirkungen und Lebensqualität (SF-36v2) werden berichtet; Disease-Free-Survival bereits publiziert.</w:t>
      </w:r>
    </w:p>
    <w:p>
      <w:r>
        <w:rPr>
          <w:b/>
        </w:rPr>
        <w:t xml:space="preserve">Ergebnis: </w:t>
      </w:r>
      <w:r>
        <w:t>Schwergrad 3–4-AE mit Alectinib: 6% (CPK-Anstieg), vs. Chemotherapie 10% (Neutropenie). Therapie-Abbrüche: 5% vs. 13% (signifikant weniger mit Alectinib). SF-36v2-Domänen (Körperschmerz, Rollenfunktion, psychische Gesundheit, soziale Funktion, Vitalität) zeigten klinisch bedeutsame Verbesserung ab Woche 12; Scores blieben über 2 Jahre stabil bei Populationsnorm (50).</w:t>
      </w:r>
    </w:p>
    <w:p>
      <w:r>
        <w:rPr>
          <w:b/>
          <w:sz w:val="19"/>
        </w:rPr>
        <w:t xml:space="preserve">Übertragbarkeit: </w:t>
      </w:r>
      <w:r>
        <w:rPr>
          <w:sz w:val="19"/>
        </w:rPr>
        <w:t>International; Alectinib bereits in Deutschland zugelassen, Verträglichkeitsdaten unterstützen adjuvante Standardisierung</w:t>
      </w:r>
    </w:p>
    <w:p>
      <w:r>
        <w:rPr>
          <w:color w:val="5A7D3A"/>
          <w:sz w:val="18"/>
        </w:rPr>
        <w:t>https://pubmed.ncbi.nlm.nih.gov/42636834/</w:t>
      </w:r>
    </w:p>
    <w:p>
      <w:pPr>
        <w:pStyle w:val="Heading2"/>
      </w:pPr>
      <w:r>
        <w:t>Durvalumab+Tremelimumab+Lenvatinib+TACE versus TACE allein bei Hepatozellulärem Karzinom: PFS-Vorteil</w:t>
      </w:r>
    </w:p>
    <w:p>
      <w:r>
        <w:rPr>
          <w:i/>
          <w:color w:val="666666"/>
          <w:sz w:val="18"/>
        </w:rPr>
        <w:t>Kudo M et al.  ·  Lancet Oncol  ·  Sept. 2026  ·  PMID 42636832</w:t>
      </w:r>
    </w:p>
    <w:p>
      <w:r>
        <w:t>Phase-III-Studie EMERALD-3 mit 760 Patienten (embolisierbar, Child-Pugh A): Vergleich STRIDE (Durvalumab+Tremelimumab) mit oder ohne Lenvatinib, kombiniert mit transarterieller Chemoembolisation (TACE), versus TACE allein.</w:t>
      </w:r>
    </w:p>
    <w:p>
      <w:r>
        <w:rPr>
          <w:b/>
        </w:rPr>
        <w:t xml:space="preserve">Ergebnis: </w:t>
      </w:r>
      <w:r>
        <w:t>Median-PFS (STRIDE+Lenvatinib vs. TACE): 13,0 vs. 9,8 Monate, HR 0,70 (95% KI 0,57–0,86, p=0,0007). Median-OS: 39,5 vs. 34,7 Monate, HR 0,84 (p=0,18, nicht signifikant). Grad-3/4-AE: Hypertonie 12% (STRIDE+Lenvatinib), post-embolization-Syndrom 6% (STRIDE+TACE). 7 Treatment-Related Deaths (2%). STRIDE-Regimen als neuer Standard empfohlen.</w:t>
      </w:r>
    </w:p>
    <w:p>
      <w:r>
        <w:rPr>
          <w:b/>
          <w:sz w:val="19"/>
        </w:rPr>
        <w:t xml:space="preserve">Übertragbarkeit: </w:t>
      </w:r>
      <w:r>
        <w:rPr>
          <w:sz w:val="19"/>
        </w:rPr>
        <w:t>Global, inklusive europäischer Zentren; Zulassung in Genehmigungsverfahren, AMNOG-Bewertung ausstehend</w:t>
      </w:r>
    </w:p>
    <w:p>
      <w:r>
        <w:rPr>
          <w:color w:val="5A7D3A"/>
          <w:sz w:val="18"/>
        </w:rPr>
        <w:t>https://pubmed.ncbi.nlm.nih.gov/42636832/</w:t>
      </w:r>
    </w:p>
    <w:p>
      <w:pPr>
        <w:pStyle w:val="Heading1"/>
      </w:pPr>
      <w:r>
        <w:t>Aufgenommen am 14.09.2026</w:t>
      </w:r>
    </w:p>
    <w:p>
      <w:pPr>
        <w:pStyle w:val="Heading2"/>
      </w:pPr>
      <w:r>
        <w:t>Teclistamab in smolderendem Myelom hocheffektiv: Phase-2-Trial</w:t>
      </w:r>
    </w:p>
    <w:p>
      <w:r>
        <w:rPr>
          <w:i/>
          <w:color w:val="666666"/>
          <w:sz w:val="18"/>
        </w:rPr>
        <w:t>Nadeem O et al.  ·  Nat Med  ·  11.09.2026  ·  PMID 42728379</w:t>
      </w:r>
    </w:p>
    <w:p>
      <w:r>
        <w:t>Randomisierte Phase-2-ImmunoPRISM-Studie verglich Teclistamab (BCMA-Bispecific Antibody, Fixdauer) mit Lenalidomid/Dexamethason bei 59 Patienten mit Hochrisiko-smolderendem multiplem Myelom.</w:t>
      </w:r>
    </w:p>
    <w:p>
      <w:r>
        <w:rPr>
          <w:b/>
        </w:rPr>
        <w:t xml:space="preserve">Ergebnis: </w:t>
      </w:r>
      <w:r>
        <w:t>Teclistamab: komplette Remission 77,8% vs. 0% (Rd); minimale Resterkrankung-Negativität (10-5) 82,2%; 2-Jahres-Progressionsfreies Überleben 92% vs. 49%; Grad 1–2 Zytokine-Freisetzung, kein Grade-3-Infektionsanstieg, keine Todesfälle.</w:t>
      </w:r>
    </w:p>
    <w:p>
      <w:r>
        <w:rPr>
          <w:b/>
          <w:sz w:val="19"/>
        </w:rPr>
        <w:t xml:space="preserve">Übertragbarkeit: </w:t>
      </w:r>
      <w:r>
        <w:rPr>
          <w:sz w:val="19"/>
        </w:rPr>
        <w:t>Phasen-2-Studie mit Potential für Frühintervention; internationale Prüfung, Übertragbarkeit begrenzt bis zur Phase-3-Validierung.</w:t>
      </w:r>
    </w:p>
    <w:p>
      <w:r>
        <w:rPr>
          <w:color w:val="5A7D3A"/>
          <w:sz w:val="18"/>
        </w:rPr>
        <w:t>https://pubmed.ncbi.nlm.nih.gov/42728379/</w:t>
      </w:r>
    </w:p>
    <w:p>
      <w:pPr>
        <w:pStyle w:val="Heading2"/>
      </w:pPr>
      <w:r>
        <w:t>HCC-Management in Asien nach europäischen Leitlinien adaptiert</w:t>
      </w:r>
    </w:p>
    <w:p>
      <w:r>
        <w:rPr>
          <w:i/>
          <w:color w:val="666666"/>
          <w:sz w:val="18"/>
        </w:rPr>
        <w:t>Tan CK et al.  ·  ESMO Open  ·  09.07.2026  ·  PMID 42660571</w:t>
      </w:r>
    </w:p>
    <w:p>
      <w:r>
        <w:t>Pan-asiatische Expertengruppe adaptierte ESMO-Leitlinien zu Diagnose, Therapie und Nachsorge des Hepatozellulären Karzinoms für zehn asiatische Länder.</w:t>
      </w:r>
    </w:p>
    <w:p>
      <w:r>
        <w:rPr>
          <w:b/>
        </w:rPr>
        <w:t xml:space="preserve">Ergebnis: </w:t>
      </w:r>
      <w:r>
        <w:t>Konsens-Richtlinie mit regionsspezifischen Empfehlungen verabschiedet; Fokus auf harmonisierte Behandlung und Zugang trotz regionaler Unterschiede in Arzneimittelzulassung und Erstattung.</w:t>
      </w:r>
    </w:p>
    <w:p>
      <w:r>
        <w:rPr>
          <w:b/>
          <w:sz w:val="19"/>
        </w:rPr>
        <w:t xml:space="preserve">Übertragbarkeit: </w:t>
      </w:r>
      <w:r>
        <w:rPr>
          <w:sz w:val="19"/>
        </w:rPr>
        <w:t>Internationale Leitlinie mit europäischen Standards, aber auch asiatischen Besonderheiten; teilweise auf deutsches System übertragbar.</w:t>
      </w:r>
    </w:p>
    <w:p>
      <w:r>
        <w:rPr>
          <w:color w:val="5A7D3A"/>
          <w:sz w:val="18"/>
        </w:rPr>
        <w:t>https://pubmed.ncbi.nlm.nih.gov/42660571/</w:t>
      </w:r>
    </w:p>
    <w:p>
      <w:pPr>
        <w:pStyle w:val="Heading2"/>
      </w:pPr>
      <w:r>
        <w:t>Epigenetisches Altern in Dickdarmgewebe zeigt Lebensstilfaktoren-Einfluss</w:t>
      </w:r>
    </w:p>
    <w:p>
      <w:r>
        <w:rPr>
          <w:i/>
          <w:color w:val="666666"/>
          <w:sz w:val="18"/>
        </w:rPr>
        <w:t>Hardikar S et al.  ·  J Natl Cancer Inst  ·  25.08.2026  ·  PMID 42640567</w:t>
      </w:r>
    </w:p>
    <w:p>
      <w:r>
        <w:t>Analyse von epigenetischen Alterungsmodellen (Horvath, Hannum, Zhang u.a.) in Kolonialgewebe von 554 Proben (96 normal, 245 angrenzend, 208 Tumore) zur Untersuchung von Zusammenhängen mit Lebensstilfaktoren und Krebsentwicklung.</w:t>
      </w:r>
    </w:p>
    <w:p>
      <w:r>
        <w:rPr>
          <w:b/>
        </w:rPr>
        <w:t xml:space="preserve">Ergebnis: </w:t>
      </w:r>
      <w:r>
        <w:t>Horvath-Modell zeigte beste Korrelation mit chronologischem Alter (r &gt;0,70) in normalem Gewebe; signifikante Alters-Beschleunigung in tumoren vs. normal/angrenzend bei allen Modellen; körperliche Aktivität (PhenoAge), Rauchen (GrimAge) und Alkoholkonsum (Horvath, Mitose-Uhren) assoziiert mit epigenetischem Altern in angrenzender Mukosa.</w:t>
      </w:r>
    </w:p>
    <w:p>
      <w:r>
        <w:rPr>
          <w:b/>
          <w:sz w:val="19"/>
        </w:rPr>
        <w:t xml:space="preserve">Übertragbarkeit: </w:t>
      </w:r>
      <w:r>
        <w:rPr>
          <w:sz w:val="19"/>
        </w:rPr>
        <w:t>USA/deutsche Zentren, diverse Populationen; Grundlagenforschung zu Risikostratifikation.</w:t>
      </w:r>
    </w:p>
    <w:p>
      <w:r>
        <w:rPr>
          <w:color w:val="5A7D3A"/>
          <w:sz w:val="18"/>
        </w:rPr>
        <w:t>https://pubmed.ncbi.nlm.nih.gov/42640567/</w:t>
      </w:r>
    </w:p>
    <w:p>
      <w:pPr>
        <w:pStyle w:val="Heading2"/>
      </w:pPr>
      <w:r>
        <w:t>Tebentafusp gegen Uveales Melanom im UK-Programm wirksam wie Phase-3-Daten</w:t>
      </w:r>
    </w:p>
    <w:p>
      <w:r>
        <w:rPr>
          <w:i/>
          <w:color w:val="666666"/>
          <w:sz w:val="18"/>
        </w:rPr>
        <w:t>Joseph M et al.  ·  Oncologist  ·  09.09.2026  ·  PMID 42640561</w:t>
      </w:r>
    </w:p>
    <w:p>
      <w:r>
        <w:t>Retrospektive Real-World-Effektivitäts- und Toxizitäts-Analyse der UK Expanded Access Programme (EAP) mit 88 Patienten mit metastasiertem uvealen Melanom, behandelt Juli 2021–Juni 2023.</w:t>
      </w:r>
    </w:p>
    <w:p>
      <w:r>
        <w:rPr>
          <w:b/>
        </w:rPr>
        <w:t xml:space="preserve">Ergebnis: </w:t>
      </w:r>
      <w:r>
        <w:t>Medianes Gesamtüberleben 21 Monate (95%-KI 17-NR); medianes progressionsfreies Überleben 2,76 Monate (95%-KI 2,53–3,22); 12-Monats-Überlebenrate 75% (95%-KI 66,1–85,6); niedrigere LDH und niedrigere Leberlastung tendierten zu besserem Überleben; LDH ≥2× obere Normgrenze zeigte sehr schlechte Prognose; keine Grade ≥3 Toxizität nach Dosis 5.</w:t>
      </w:r>
    </w:p>
    <w:p>
      <w:r>
        <w:rPr>
          <w:b/>
          <w:sz w:val="19"/>
        </w:rPr>
        <w:t xml:space="preserve">Übertragbarkeit: </w:t>
      </w:r>
      <w:r>
        <w:rPr>
          <w:sz w:val="19"/>
        </w:rPr>
        <w:t>Britisches NHS-System, vergleichbar mit deutschem, Real-World-Evidenz für Kostenträger relevant.</w:t>
      </w:r>
    </w:p>
    <w:p>
      <w:r>
        <w:rPr>
          <w:color w:val="5A7D3A"/>
          <w:sz w:val="18"/>
        </w:rPr>
        <w:t>https://pubmed.ncbi.nlm.nih.gov/42640561/</w:t>
      </w:r>
    </w:p>
    <w:p>
      <w:pPr>
        <w:pStyle w:val="Heading2"/>
      </w:pPr>
      <w:r>
        <w:t>Daratumumab+Lenalidomid verlängert Überleben im älteren Myelom dauerhaft</w:t>
      </w:r>
    </w:p>
    <w:p>
      <w:r>
        <w:rPr>
          <w:i/>
          <w:color w:val="666666"/>
          <w:sz w:val="18"/>
        </w:rPr>
        <w:t>Facon T et al.  ·  Leukemia  ·  24.08.2026  ·  PMID 42637879</w:t>
      </w:r>
    </w:p>
    <w:p>
      <w:r>
        <w:t>Finale Analyse der MAIA-Studie: Randomisierte Phase-III-Prüfung zu Daratumumab+Lenalidomid/Dexamethason (D-Rd) vs. Lenalidomid/Dexamethason (Rd) bei 737 nicht-transplant-fähigen Patienten mit neu diagnostiziertem multiplem Myelom.</w:t>
      </w:r>
    </w:p>
    <w:p>
      <w:r>
        <w:rPr>
          <w:b/>
        </w:rPr>
        <w:t xml:space="preserve">Ergebnis: </w:t>
      </w:r>
      <w:r>
        <w:t>Medianes Gesamtüberleben: 90,3 Monate (D-Rd) vs. 64,1 Monate (Rd), HR 0,67 (95%-KI 0,55–0,82); 7-Jahres-Überleben 53,1% vs. 39,3%; mediane Zeit bis Folgetherapie nicht erreicht vs. 42,4 Monate. Follow-up &gt;7 Jahre.</w:t>
      </w:r>
    </w:p>
    <w:p>
      <w:r>
        <w:rPr>
          <w:b/>
          <w:sz w:val="19"/>
        </w:rPr>
        <w:t xml:space="preserve">Übertragbarkeit: </w:t>
      </w:r>
      <w:r>
        <w:rPr>
          <w:sz w:val="19"/>
        </w:rPr>
        <w:t>Multinationale Studie; Basis für Leitlinienstandard bei älteren Patienten, in Deutschland anwendbar.</w:t>
      </w:r>
    </w:p>
    <w:p>
      <w:r>
        <w:rPr>
          <w:color w:val="5A7D3A"/>
          <w:sz w:val="18"/>
        </w:rPr>
        <w:t>https://pubmed.ncbi.nlm.nih.gov/42637879/</w:t>
      </w:r>
    </w:p>
    <w:p>
      <w:pPr>
        <w:pStyle w:val="Heading2"/>
      </w:pPr>
      <w:r>
        <w:t>Olaparib-Erhaltung bei BRCA-mutiertem Brustkrebs: 6-Jahres-Vorteile halten an</w:t>
      </w:r>
    </w:p>
    <w:p>
      <w:r>
        <w:rPr>
          <w:i/>
          <w:color w:val="666666"/>
          <w:sz w:val="18"/>
        </w:rPr>
        <w:t>Garber JE et al.  ·  Ann Oncol  ·  24.08.2026  ·  PMID 42636977</w:t>
      </w:r>
    </w:p>
    <w:p>
      <w:r>
        <w:t>Dritte geplante Zwischenanalyse der randomisierten Phase-III-OlympiA-Studie zu adjuvantem Olaparib (PARP-Inhibitor) versus Placebo nach Chemotherapie bei 1.836 Patientinnen mit Keimbahn-BRCA-Mutation und HER2-negativem Hochrisiko-Brustkrebs.</w:t>
      </w:r>
    </w:p>
    <w:p>
      <w:r>
        <w:rPr>
          <w:b/>
        </w:rPr>
        <w:t xml:space="preserve">Ergebnis: </w:t>
      </w:r>
      <w:r>
        <w:t>Bei 6,1 Jahren medianer Nachbeobachtung: Invasives rezidivfreies Überleben (HR 0,65; 95%-KI 0,53–0,78), Gesamtüberleben (HR 0,72; 95%-KI 0,56–0,93); 6-Jahres-Überleben 87,5% vs. 83,2%; keine neuen Sicherheitssignale, kein erhöhtes MDS/AML-Risiko (0,4% vs. 0,7%).</w:t>
      </w:r>
    </w:p>
    <w:p>
      <w:r>
        <w:rPr>
          <w:b/>
          <w:sz w:val="19"/>
        </w:rPr>
        <w:t xml:space="preserve">Übertragbarkeit: </w:t>
      </w:r>
      <w:r>
        <w:rPr>
          <w:sz w:val="19"/>
        </w:rPr>
        <w:t>Multinationale Studie mit europäischen und deutschen Zentren; Befund ändert Leitlinienempfehlungen.</w:t>
      </w:r>
    </w:p>
    <w:p>
      <w:r>
        <w:rPr>
          <w:color w:val="5A7D3A"/>
          <w:sz w:val="18"/>
        </w:rPr>
        <w:t>https://pubmed.ncbi.nlm.nih.gov/42636977/</w:t>
      </w:r>
    </w:p>
    <w:p>
      <w:pPr>
        <w:pStyle w:val="Heading1"/>
      </w:pPr>
      <w:r>
        <w:t>Aufgenommen am 13.09.2026</w:t>
      </w:r>
    </w:p>
    <w:p>
      <w:pPr>
        <w:pStyle w:val="Heading2"/>
      </w:pPr>
      <w:r>
        <w:t>Genomische Alterationen in Hirn-Metastasen von Brustkrebs: 76,8 % haben therapeutisch nutzbare Targets</w:t>
      </w:r>
    </w:p>
    <w:p>
      <w:r>
        <w:rPr>
          <w:i/>
          <w:color w:val="666666"/>
          <w:sz w:val="18"/>
        </w:rPr>
        <w:t>Griguolo G et al.  ·  ESMO Open  ·  11.09.2026  ·  PMID 42727421</w:t>
      </w:r>
    </w:p>
    <w:p>
      <w:r>
        <w:t>Whole-exome-Sequenzierung von 56 Hirn-Metastasen-Proben aus Brustkrebs-Patienten zur Identifikation klinisch umsetzbarer genomischer Alterationen nach ESCAT-Kriterien.</w:t>
      </w:r>
    </w:p>
    <w:p>
      <w:r>
        <w:rPr>
          <w:b/>
        </w:rPr>
        <w:t xml:space="preserve">Ergebnis: </w:t>
      </w:r>
      <w:r>
        <w:t>76,8 % zeigten ESCAT-I/II-Alterationen; häufigste waren DNA-Reparatur-Gene (BRCA1/2/PALB2: 53,6 %); biallele Inaktivierung bei 19,6 % (höher bei HER2-negativ: 26 % HR-neg/HER2-neg, 21 % HR-pos/HER2-neg); PIK3CA/AKT1/PTEN-Alterationen in 48,2 %; kein ESR1 in HR-positiven; hotspot PIK3CA bei HER2-positivem assoziiert mit schlechterer Prognose.</w:t>
      </w:r>
    </w:p>
    <w:p>
      <w:r>
        <w:rPr>
          <w:b/>
          <w:sz w:val="19"/>
        </w:rPr>
        <w:t xml:space="preserve">Übertragbarkeit: </w:t>
      </w:r>
      <w:r>
        <w:rPr>
          <w:sz w:val="19"/>
        </w:rPr>
        <w:t>Italienisch-französische Kooperation, ESCAT-Klassifikation europäisch – direkt auf deutsches Targeting-System übertragbar.</w:t>
      </w:r>
    </w:p>
    <w:p>
      <w:r>
        <w:rPr>
          <w:color w:val="5A7D3A"/>
          <w:sz w:val="18"/>
        </w:rPr>
        <w:t>https://pubmed.ncbi.nlm.nih.gov/42727421/</w:t>
      </w:r>
    </w:p>
    <w:p>
      <w:pPr>
        <w:pStyle w:val="Heading2"/>
      </w:pPr>
      <w:r>
        <w:t>Hautkrebs-Bestrahlungen um 79% gestiegen: Trends der Radioonkologie 2015–2022</w:t>
      </w:r>
    </w:p>
    <w:p>
      <w:r>
        <w:rPr>
          <w:i/>
          <w:color w:val="666666"/>
          <w:sz w:val="18"/>
        </w:rPr>
        <w:t>Diefenhardt M et al.  ·  Strahlenther Onkol  ·  11.09.2026  ·  PMID 42726226</w:t>
      </w:r>
    </w:p>
    <w:p>
      <w:r>
        <w:t>Retrospektive Analyse von 8.842 Patienten in einer deutschen Uniklinik-Radiotherapie zwischen 2015 und 2022 zu Trends in Tumorentitäten, Alter und Behandlungsabständen.</w:t>
      </w:r>
    </w:p>
    <w:p>
      <w:r>
        <w:rPr>
          <w:b/>
        </w:rPr>
        <w:t xml:space="preserve">Ergebnis: </w:t>
      </w:r>
      <w:r>
        <w:t>Hautkrebs-Bestrahlungen stiegen um 79 %, Prostata um 10 %, Medianalter von 62 auf 64 Jahre; 47 % der Patienten kamen aus 10-km-Radius; Pandemie 2020-2021 führte zu keinen signifikanten Veränderungen in Patientenzahlen oder Tumortyp-Verteilung.</w:t>
      </w:r>
    </w:p>
    <w:p>
      <w:r>
        <w:rPr>
          <w:b/>
          <w:sz w:val="19"/>
        </w:rPr>
        <w:t xml:space="preserve">Übertragbarkeit: </w:t>
      </w:r>
      <w:r>
        <w:rPr>
          <w:sz w:val="19"/>
        </w:rPr>
        <w:t>Deutsche Uniklinik-Daten, direkt auf deutsches Radiotherapie-Versorgungssystem übertragbar.</w:t>
      </w:r>
    </w:p>
    <w:p>
      <w:r>
        <w:rPr>
          <w:color w:val="5A7D3A"/>
          <w:sz w:val="18"/>
        </w:rPr>
        <w:t>https://pubmed.ncbi.nlm.nih.gov/42726226/</w:t>
      </w:r>
    </w:p>
    <w:p>
      <w:pPr>
        <w:pStyle w:val="Heading2"/>
      </w:pPr>
      <w:r>
        <w:t>Cell-free DNA in Großzelliger B-Zell-Lymphom: technische Anforderungen für Minimal-Residual-Disease-Monitoring</w:t>
      </w:r>
    </w:p>
    <w:p>
      <w:r>
        <w:rPr>
          <w:i/>
          <w:color w:val="666666"/>
          <w:sz w:val="18"/>
        </w:rPr>
        <w:t>Krupka JA et al.  ·  Blood  ·  03.09.2026  ·  PMID 42691013</w:t>
      </w:r>
    </w:p>
    <w:p>
      <w:r>
        <w:t>Narrative Übersichtsarbeit zu ctDNA-Einsatz im diffusen großzelligen B-Zell-Lymphom mit Fokus auf technische Herausforderungen, Assay-Design und klinische Implementierung.</w:t>
      </w:r>
    </w:p>
    <w:p>
      <w:r>
        <w:rPr>
          <w:b/>
        </w:rPr>
        <w:t xml:space="preserve">Ergebnis: </w:t>
      </w:r>
      <w:r>
        <w:t>Tumor-informierte Assays mit mehreren genetischen Markern verbessern Sensitivität des Monitoring substanziell; Standardisierung und prospektive Validierung sind notwendig für Routineimplementierung; niedrige ctDNA-Häufigkeit und Unterscheidung von niedrigen Allel-Fraktionen bleiben Hauptprobleme.</w:t>
      </w:r>
    </w:p>
    <w:p>
      <w:r>
        <w:rPr>
          <w:b/>
          <w:sz w:val="19"/>
        </w:rPr>
        <w:t xml:space="preserve">Übertragbarkeit: </w:t>
      </w:r>
      <w:r>
        <w:rPr>
          <w:sz w:val="19"/>
        </w:rPr>
        <w:t>Technisches Review ohne spezifische Zahlen, eher Empfehlungscharakter; europäische Kontributoren.</w:t>
      </w:r>
    </w:p>
    <w:p>
      <w:r>
        <w:rPr>
          <w:color w:val="5A7D3A"/>
          <w:sz w:val="18"/>
        </w:rPr>
        <w:t>https://pubmed.ncbi.nlm.nih.gov/42691013/</w:t>
      </w:r>
    </w:p>
    <w:p>
      <w:pPr>
        <w:pStyle w:val="Heading2"/>
      </w:pPr>
      <w:r>
        <w:t>Tumor-Protein ADAMTSL4 treibt Kachexie durch TGFβ-Aktivierung – therapeutisches Ziel identifiziert</w:t>
      </w:r>
    </w:p>
    <w:p>
      <w:r>
        <w:rPr>
          <w:i/>
          <w:color w:val="666666"/>
          <w:sz w:val="18"/>
        </w:rPr>
        <w:t>Machado J et al.  ·  Cancer Discov  ·  01.09.2026  ·  PMID 42678278</w:t>
      </w:r>
    </w:p>
    <w:p>
      <w:r>
        <w:t>Mechanistische Studie in Modellen und Patienten mit kolorektalem und Lungenkarzinom zur Rolle von Tumor-Sekretion von ADAMTSL4 in der Pathogenese von Krebs-Kachexie.</w:t>
      </w:r>
    </w:p>
    <w:p>
      <w:r>
        <w:rPr>
          <w:b/>
        </w:rPr>
        <w:t xml:space="preserve">Ergebnis: </w:t>
      </w:r>
      <w:r>
        <w:t>ADAMTSL4-Überexpression machte nicht-kachektische Tumoren zu kachektischen; ADAMTSL4-Knockout reduzierte Muskelatrophie-Signaturen und Kachexie-Schweregrad; erhöhte zirkulierende ADAMTSL4-Level waren mit TGFβ-getriebener Muskelatrophie in Kachexie-Patienten assoziiert; ADAMTSL4-Blockade könnte selektive Therapie ohne systemische TGFβ-Blockade ermöglichen.</w:t>
      </w:r>
    </w:p>
    <w:p>
      <w:r>
        <w:rPr>
          <w:b/>
          <w:sz w:val="19"/>
        </w:rPr>
        <w:t xml:space="preserve">Übertragbarkeit: </w:t>
      </w:r>
      <w:r>
        <w:rPr>
          <w:sz w:val="19"/>
        </w:rPr>
        <w:t>USA-Studie mit deutschen und internationalen Zentren; präklinisches Modell mit klinischer Validierung – Weg zur Therapeutik erkennbar.</w:t>
      </w:r>
    </w:p>
    <w:p>
      <w:r>
        <w:rPr>
          <w:color w:val="5A7D3A"/>
          <w:sz w:val="18"/>
        </w:rPr>
        <w:t>https://pubmed.ncbi.nlm.nih.gov/42678278/</w:t>
      </w:r>
    </w:p>
    <w:p>
      <w:pPr>
        <w:pStyle w:val="Heading2"/>
      </w:pPr>
      <w:r>
        <w:t>Durvalumab perioperativ bei resektablem NSCLC: AEGEAN-Phase-III-Studie verbessert ereignisfreies Überleben</w:t>
      </w:r>
    </w:p>
    <w:p>
      <w:r>
        <w:rPr>
          <w:i/>
          <w:color w:val="666666"/>
          <w:sz w:val="18"/>
        </w:rPr>
        <w:t>Heymach JV et al.  ·  J Clin Oncol  ·  28.08.2026  ·  PMID 42664473</w:t>
      </w:r>
    </w:p>
    <w:p>
      <w:r>
        <w:t>Phase-III-Studie mit 740 Patienten zu neoadjuvanter Chemotherapie plus Durvalumab oder Placebo vor Operation und anschließender adjuvanter Durvalumab/Placebo-Therapie beim resektablen NSCLC Stadium II-IIIB.</w:t>
      </w:r>
    </w:p>
    <w:p>
      <w:r>
        <w:rPr>
          <w:b/>
        </w:rPr>
        <w:t xml:space="preserve">Ergebnis: </w:t>
      </w:r>
      <w:r>
        <w:t>Durvalumab reduzierte ereignisfreies Überleben (HR 0,69; 95%-KI 0,55–0,88), Zahlentrend für progressionsfreies Überleben (HR 0,66) und Gesamtüberleben (HR 0,89); Grad-3/4-Nebenwirkungen unter adjuvanter Therapie: 15,4 % vs. 10,6 % Placebo; Sicherheitsprofil konsistent mit Einzelsubstanzen.</w:t>
      </w:r>
    </w:p>
    <w:p>
      <w:r>
        <w:rPr>
          <w:b/>
          <w:sz w:val="19"/>
        </w:rPr>
        <w:t xml:space="preserve">Übertragbarkeit: </w:t>
      </w:r>
      <w:r>
        <w:rPr>
          <w:sz w:val="19"/>
        </w:rPr>
        <w:t>Internationale Phase-III-Studie mit europäischen Zentren; praxisverändernd bei AMNOG und Zulassung.</w:t>
      </w:r>
    </w:p>
    <w:p>
      <w:r>
        <w:rPr>
          <w:color w:val="5A7D3A"/>
          <w:sz w:val="18"/>
        </w:rPr>
        <w:t>https://pubmed.ncbi.nlm.nih.gov/42664473/</w:t>
      </w:r>
    </w:p>
    <w:p>
      <w:pPr>
        <w:pStyle w:val="Heading2"/>
      </w:pPr>
      <w:r>
        <w:t>Dynamisches Prognose-Modell CIRI2-CLL für Rezidivrisiko nach limitierter Therapie verbessert Vorhersage um bis zu 37 %</w:t>
      </w:r>
    </w:p>
    <w:p>
      <w:r>
        <w:rPr>
          <w:i/>
          <w:color w:val="666666"/>
          <w:sz w:val="18"/>
        </w:rPr>
        <w:t>Al-Sawaf O et al.  ·  J Clin Oncol  ·  27.08.2026  ·  PMID 42659576</w:t>
      </w:r>
    </w:p>
    <w:p>
      <w:r>
        <w:t>Validierungsstudie eines verfeinerten kontinuierlichen Risikoindex (CIRI2-CLL) zur Prognosebestimmung nach limitierter Behandlung der chronischen lymphatischen Leukämie mit Minimal-Residual-Disease-Status.</w:t>
      </w:r>
    </w:p>
    <w:p>
      <w:r>
        <w:rPr>
          <w:b/>
        </w:rPr>
        <w:t xml:space="preserve">Ergebnis: </w:t>
      </w:r>
      <w:r>
        <w:t>CIRI2-CLL zeigte gute Kalibrierung (ca. 5 % Differenz zwischen beobachteter und vorhergesagter Ereigniswahrscheinlichkeit); C-Statistik 0,82–0,98 an allen Zeitpunkten; 14–37 % Verbesserung der PFS-Vorhersage gegenüber MRD und CLL-IPI; 3-Jahres-PFS: 100,0 % (niedrig), 70,2 % (mittel), 10,8 % (hoch); Modell frei verfügbar auf Stanford-Plattform für individualisierte Therapieentscheidung.</w:t>
      </w:r>
    </w:p>
    <w:p>
      <w:r>
        <w:rPr>
          <w:b/>
          <w:sz w:val="19"/>
        </w:rPr>
        <w:t xml:space="preserve">Übertragbarkeit: </w:t>
      </w:r>
      <w:r>
        <w:rPr>
          <w:sz w:val="19"/>
        </w:rPr>
        <w:t>Deutsche CLL-Studiengruppe führend; validiert in europäischen und internationalen Kohorten.</w:t>
      </w:r>
    </w:p>
    <w:p>
      <w:r>
        <w:rPr>
          <w:color w:val="5A7D3A"/>
          <w:sz w:val="18"/>
        </w:rPr>
        <w:t>https://pubmed.ncbi.nlm.nih.gov/42659576/</w:t>
      </w:r>
    </w:p>
    <w:p>
      <w:pPr>
        <w:pStyle w:val="Heading1"/>
      </w:pPr>
      <w:r>
        <w:t>Aufgenommen am 12.09.2026</w:t>
      </w:r>
    </w:p>
    <w:p>
      <w:pPr>
        <w:pStyle w:val="Heading2"/>
      </w:pPr>
      <w:r>
        <w:t>PRO-Symptommonitoring bei Lungenkrebspatienten verlängert Gesamtüberleben um 5 Monate</w:t>
      </w:r>
    </w:p>
    <w:p>
      <w:r>
        <w:rPr>
          <w:i/>
          <w:color w:val="666666"/>
          <w:sz w:val="18"/>
        </w:rPr>
        <w:t>Hassing MJ et al.  ·  Lancet Oncol  ·  11.09.2026  ·  PMID 42727592</w:t>
      </w:r>
    </w:p>
    <w:p>
      <w:r>
        <w:t>Randomisierte niederländische Studie (14 medizinische Zentren, Stepped-Wedge-Design) zur Wirkung wöchentlicher Online-Symptomselbstberichte auf Überleben bei Patienten mit Lung Cancer im Stadium I-IV unter Behandlung.</w:t>
      </w:r>
    </w:p>
    <w:p>
      <w:r>
        <w:rPr>
          <w:b/>
        </w:rPr>
        <w:t xml:space="preserve">Ergebnis: </w:t>
      </w:r>
      <w:r>
        <w:t>Bei 446 Patienten (median 50 Monate Follow-up): Median Overall Survival in der Intervention 26 Monate versus Kontrolle 21 Monate (Hazard Ratio 0,80; 95%-CI 0,63–1,00; p=0,049). Progression-Free Survival zeigte keinen signifikanten Unterschied (HR 0,86; p=0,18). Praxisrelevant: strukturierte Patient-Reported Outcomes ermöglichen 5-Monate-Gewinn bei aktuellen Therapien.</w:t>
      </w:r>
    </w:p>
    <w:p>
      <w:r>
        <w:rPr>
          <w:b/>
          <w:sz w:val="19"/>
        </w:rPr>
        <w:t xml:space="preserve">Übertragbarkeit: </w:t>
      </w:r>
      <w:r>
        <w:rPr>
          <w:sz w:val="19"/>
        </w:rPr>
        <w:t>Niederländische Klinikdaten mit Versorgungsauftrag ähnlich Deutschland</w:t>
      </w:r>
    </w:p>
    <w:p>
      <w:r>
        <w:rPr>
          <w:color w:val="5A7D3A"/>
          <w:sz w:val="18"/>
        </w:rPr>
        <w:t>https://pubmed.ncbi.nlm.nih.gov/42727592/</w:t>
      </w:r>
    </w:p>
    <w:p>
      <w:pPr>
        <w:pStyle w:val="Heading2"/>
      </w:pPr>
      <w:r>
        <w:t>Trastuzumab Botidotin gegenüber Trastuzumab Emtansine: 11,1 vs. 4,4 Monate progressionsfreies Überleben</w:t>
      </w:r>
    </w:p>
    <w:p>
      <w:r>
        <w:rPr>
          <w:i/>
          <w:color w:val="666666"/>
          <w:sz w:val="18"/>
        </w:rPr>
        <w:t>Zhang J et al.  ·  J Clin Oncol  ·  11.09.2026  ·  PMID 42727044</w:t>
      </w:r>
    </w:p>
    <w:p>
      <w:r>
        <w:t>Phase-III-Studie (365 Patienten, China, 57 Zentren) mit randomisierter Direktvergleich zweier HER2-gerichteter Antikörper-Wirkstoff-Konjugate bei vorbehandeltem HER2-positivem metastasiertem Brustkrebs.</w:t>
      </w:r>
    </w:p>
    <w:p>
      <w:r>
        <w:rPr>
          <w:b/>
        </w:rPr>
        <w:t xml:space="preserve">Ergebnis: </w:t>
      </w:r>
      <w:r>
        <w:t>Trastuzumab Botidotin vs. Trastuzumab Emtansine: medianes Progression-Free Survival 11,1 vs. 4,4 Monate (HR 0,39; p&lt;0,0001); Objective Response Rate 76,9% vs. 53,0%. Grade ≥3 unerwünschte Ereignisse 69,8% vs. 63,7%, höchste Inzidenz bei Augenoberflächen-Toxizität (47,7%), aber meist reversibel.</w:t>
      </w:r>
    </w:p>
    <w:p>
      <w:r>
        <w:rPr>
          <w:b/>
          <w:sz w:val="19"/>
        </w:rPr>
        <w:t xml:space="preserve">Übertragbarkeit: </w:t>
      </w:r>
      <w:r>
        <w:rPr>
          <w:sz w:val="19"/>
        </w:rPr>
        <w:t>China-Studie, Botidotin hat EU-Zulassung; Übertragbarkeit für deutsche Zentren gegeben</w:t>
      </w:r>
    </w:p>
    <w:p>
      <w:r>
        <w:rPr>
          <w:color w:val="5A7D3A"/>
          <w:sz w:val="18"/>
        </w:rPr>
        <w:t>https://pubmed.ncbi.nlm.nih.gov/42727044/</w:t>
      </w:r>
    </w:p>
    <w:p>
      <w:pPr>
        <w:pStyle w:val="Heading2"/>
      </w:pPr>
      <w:r>
        <w:t>Lokale Therapie + Immune Checkpoint Inhibitor bei rezidiviertem/metastasiertem Nasopharynxkarzinom: 30,5 vs. 16,8 Monate PFS</w:t>
      </w:r>
    </w:p>
    <w:p>
      <w:r>
        <w:rPr>
          <w:i/>
          <w:color w:val="666666"/>
          <w:sz w:val="18"/>
        </w:rPr>
        <w:t>Chen X et al.  ·  Eur J Cancer  ·  27.08.2026  ·  PMID 42721861</w:t>
      </w:r>
    </w:p>
    <w:p>
      <w:r>
        <w:t>Retrospektive chinesische Studie (223 Patienten, Fudan University Shanghai) zum Vergleich von ICI allein versus lokale Therapie kombiniert mit ICI (LOCI) bei rezidiviertem oder metastasiertem Nasopharynxkarzinom; IPTW und Propensity-Score-Matching zur Confounding-Kontrolle.</w:t>
      </w:r>
    </w:p>
    <w:p>
      <w:r>
        <w:rPr>
          <w:b/>
        </w:rPr>
        <w:t xml:space="preserve">Ergebnis: </w:t>
      </w:r>
      <w:r>
        <w:t>Median Progression-Free Survival mit LOCI 30,53 Monate vs. ICI allein 16,77 Monate (HR 0,524; 95%-CI 0,339–0,785; log-rank p=0,0014). Benefit nach PSM und IPTW-Adjustment bestätigt. Bei lokalem Rezidiv oder Nodusbefall (LRR-NPC): verbessertes Distant-Metastasis-Free-Survival (HR 0,437). Bei Oligometastasen (≤3 Läsionen) ebenfalls PFS-Vorteil (HR 0,458; p=0,0416).</w:t>
      </w:r>
    </w:p>
    <w:p>
      <w:r>
        <w:rPr>
          <w:b/>
          <w:sz w:val="19"/>
        </w:rPr>
        <w:t xml:space="preserve">Übertragbarkeit: </w:t>
      </w:r>
      <w:r>
        <w:rPr>
          <w:sz w:val="19"/>
        </w:rPr>
        <w:t>China, Strahlentherapie mit ICI-Standard auch europäisch; Real-World-Ansatz übertragbar</w:t>
      </w:r>
    </w:p>
    <w:p>
      <w:r>
        <w:rPr>
          <w:color w:val="5A7D3A"/>
          <w:sz w:val="18"/>
        </w:rPr>
        <w:t>https://pubmed.ncbi.nlm.nih.gov/42721861/</w:t>
      </w:r>
    </w:p>
    <w:p>
      <w:pPr>
        <w:pStyle w:val="Heading2"/>
      </w:pPr>
      <w:r>
        <w:t>EORTC QLQ-CHI: erste Lebensqualitätsskala speziell für Kinder mit Krebs (8–14 Jahre)</w:t>
      </w:r>
    </w:p>
    <w:p>
      <w:r>
        <w:rPr>
          <w:i/>
          <w:color w:val="666666"/>
          <w:sz w:val="18"/>
        </w:rPr>
        <w:t>Vetrano C et al.  ·  Eur J Cancer  ·  05.10.2026  ·  PMID 42685381</w:t>
      </w:r>
    </w:p>
    <w:p>
      <w:r>
        <w:t>Mixed-Methods-Studie (Phasen I/II) zur Entwicklung eines EORTC-Fragebogenmoduls; 47 Kinder, 45 Eltern, 22 Fachleute aus 6 Ländern; Leitlinien der EORTC Quality-of-Life Group.</w:t>
      </w:r>
    </w:p>
    <w:p>
      <w:r>
        <w:rPr>
          <w:b/>
        </w:rPr>
        <w:t xml:space="preserve">Ergebnis: </w:t>
      </w:r>
      <w:r>
        <w:t>57 Schlüsselprobleme identifiziert aus 1.200+ initial bewerteten Aspekten (Vergleich Kinder-, Eltern- und Fachperspektive). Kinder präferierten 4 Antwortoptionen (70,0%) und kürzere Recall-Periode (43,3%). Fragebogen mit 50 Items in zwei Skalenbereiche eingeteilt: symptomorientiert und psychosozial. Nächste Schritte: Pilottestung (Phase III/IV), Validierung.</w:t>
      </w:r>
    </w:p>
    <w:p>
      <w:r>
        <w:rPr>
          <w:b/>
          <w:sz w:val="19"/>
        </w:rPr>
        <w:t xml:space="preserve">Übertragbarkeit: </w:t>
      </w:r>
      <w:r>
        <w:rPr>
          <w:sz w:val="19"/>
        </w:rPr>
        <w:t>Europäisches Netzwerk (EORTC), Grundlage für standardisierte Erfassung in Zentren</w:t>
      </w:r>
    </w:p>
    <w:p>
      <w:r>
        <w:rPr>
          <w:color w:val="5A7D3A"/>
          <w:sz w:val="18"/>
        </w:rPr>
        <w:t>https://pubmed.ncbi.nlm.nih.gov/42685381/</w:t>
      </w:r>
    </w:p>
    <w:p>
      <w:pPr>
        <w:pStyle w:val="Heading2"/>
      </w:pPr>
      <w:r>
        <w:t>Tislelizumab + Chemotherapie bei Ösophaguskarzinom: 45-Monate-Überleben</w:t>
      </w:r>
    </w:p>
    <w:p>
      <w:r>
        <w:rPr>
          <w:i/>
          <w:color w:val="666666"/>
          <w:sz w:val="18"/>
        </w:rPr>
        <w:t>Tougeron D et al.  ·  ESMO Open  ·  27.08.2026  ·  PMID 42659894</w:t>
      </w:r>
    </w:p>
    <w:p>
      <w:r>
        <w:t>Randomisierte Phase-III-Studie (RATIONALE-306) mit 649 Patienten weltweit; Analyse der Subgruppe mit PD-L1 Tumor Area Positivity ≥5% im Langzeit-Follow-up.</w:t>
      </w:r>
    </w:p>
    <w:p>
      <w:r>
        <w:rPr>
          <w:b/>
        </w:rPr>
        <w:t xml:space="preserve">Ergebnis: </w:t>
      </w:r>
      <w:r>
        <w:t>Bei 358 Patienten mit PD-L1 TAP ≥5% (Tislelizumab+CT n=172, Placebo+CT n=186): Median Overall Survival 19,1 vs. 10,0 Monate (HR 0,61); Progression-Free Survival 8,2 vs. 5,5 Monate (HR 0,50); Objektive Ansprechrate 71,5% vs. 41,4%. Haltbarkeit über 45 Monate bestätigt; Sicherheitsprofil unverändert.</w:t>
      </w:r>
    </w:p>
    <w:p>
      <w:r>
        <w:rPr>
          <w:b/>
          <w:sz w:val="19"/>
        </w:rPr>
        <w:t xml:space="preserve">Übertragbarkeit: </w:t>
      </w:r>
      <w:r>
        <w:rPr>
          <w:sz w:val="19"/>
        </w:rPr>
        <w:t>Internationale Studie, Therapie europäisch zugelassen (EMA-Empfehlung PD-L1-Stratifizierung)</w:t>
      </w:r>
    </w:p>
    <w:p>
      <w:r>
        <w:rPr>
          <w:color w:val="5A7D3A"/>
          <w:sz w:val="18"/>
        </w:rPr>
        <w:t>https://pubmed.ncbi.nlm.nih.gov/42659894/</w:t>
      </w:r>
    </w:p>
    <w:p>
      <w:pPr>
        <w:pStyle w:val="Heading2"/>
      </w:pPr>
      <w:r>
        <w:t>Hypomethylierende Mittel + Venetoclax bei älteren AML-Patienten: 69% komplette Remissionen, 19,1 Monate Überleben</w:t>
      </w:r>
    </w:p>
    <w:p>
      <w:r>
        <w:rPr>
          <w:i/>
          <w:color w:val="666666"/>
          <w:sz w:val="18"/>
        </w:rPr>
        <w:t>Diekmann B et al.  ·  Eur J Cancer  ·  05.10.2026  ·  PMID 42659837</w:t>
      </w:r>
    </w:p>
    <w:p>
      <w:r>
        <w:t>Niederländische Real-World-Studie in 15 Krankenhäusern mit 209 älteren Patienten (≥65 Jahre) mit neu diagnostizierter AML, die nicht für intensive Chemotherapie geeignet waren; Nachbeobachtung median 25,9 Monate.</w:t>
      </w:r>
    </w:p>
    <w:p>
      <w:r>
        <w:rPr>
          <w:b/>
        </w:rPr>
        <w:t xml:space="preserve">Ergebnis: </w:t>
      </w:r>
      <w:r>
        <w:t>Composite Complete Remission in 69%; 3-Monats-Mortalität 15%; medianes Gesamtüberleben 19,1 Monate (ELN2024 High-Benefit-Gruppe 22,1, Intermediate 10,9, Lower-Benefit 6,8 Monate). Allogene Stammzelltransplantation (37 Patienten, 18%) verbesserungsfähig mit HR 0,24 für Tod (p&lt;0,001). Antifungale Agenten in 72% der ersten Zyklen assoziiert mit reduzierter Mortalität (HR 0,605; p=0,010).</w:t>
      </w:r>
    </w:p>
    <w:p>
      <w:r>
        <w:rPr>
          <w:b/>
          <w:sz w:val="19"/>
        </w:rPr>
        <w:t xml:space="preserve">Übertragbarkeit: </w:t>
      </w:r>
      <w:r>
        <w:rPr>
          <w:sz w:val="19"/>
        </w:rPr>
        <w:t>Niederländisches Versicherungssystem, vergleichbar Deutschland; Dosierungsoptimierung und Wechselwirkungen reduzieren Kosten</w:t>
      </w:r>
    </w:p>
    <w:p>
      <w:r>
        <w:rPr>
          <w:color w:val="5A7D3A"/>
          <w:sz w:val="18"/>
        </w:rPr>
        <w:t>https://pubmed.ncbi.nlm.nih.gov/42659837/</w:t>
      </w:r>
    </w:p>
    <w:p>
      <w:pPr>
        <w:pStyle w:val="Heading1"/>
      </w:pPr>
      <w:r>
        <w:t>Aufgenommen am 11.09.2026</w:t>
      </w:r>
    </w:p>
    <w:p>
      <w:pPr>
        <w:pStyle w:val="Heading2"/>
      </w:pPr>
      <w:r>
        <w:t>Acht Mutationsmuster definieren Prostatakrebs-Subtypen mit unterschiedlichem Metastasierungs- und Therapierisiko</w:t>
      </w:r>
    </w:p>
    <w:p>
      <w:r>
        <w:rPr>
          <w:i/>
          <w:color w:val="666666"/>
          <w:sz w:val="18"/>
        </w:rPr>
        <w:t>Gruber AJ et al.  ·  Nature  ·  09.09.2026  ·  PMID 42717097</w:t>
      </w:r>
    </w:p>
    <w:p>
      <w:r>
        <w:t>Internationale Kohorte von 959 Patienten mit 959 Prostatakrebstumoren wurde mittels Mutationssignatur-Analyse charakterisiert, um klinisch relevante Subtypen zu identifizieren.</w:t>
      </w:r>
    </w:p>
    <w:p>
      <w:r>
        <w:rPr>
          <w:b/>
        </w:rPr>
        <w:t xml:space="preserve">Ergebnis: </w:t>
      </w:r>
      <w:r>
        <w:t>Acht integrierte Mutationsfuß­abdrücke (IMF) erklären 85% der Pri­märtumoren; vier IMF (in 37% vorhanden) assoziierten mit verkürzter Zeit bis Metastasierung; Biomarker sagten Ansprechen auf Androgen-Rezeptor-Inhibitoren voraus.</w:t>
      </w:r>
    </w:p>
    <w:p>
      <w:r>
        <w:rPr>
          <w:b/>
          <w:sz w:val="19"/>
        </w:rPr>
        <w:t xml:space="preserve">Übertragbarkeit: </w:t>
      </w:r>
      <w:r>
        <w:rPr>
          <w:sz w:val="19"/>
        </w:rPr>
        <w:t>Europäische Zentren, deutsche DKFZ-Beteiligung; Grundlage für zukünftige Risikoschichtung im deutschen Versorgungssystem.</w:t>
      </w:r>
    </w:p>
    <w:p>
      <w:r>
        <w:rPr>
          <w:color w:val="5A7D3A"/>
          <w:sz w:val="18"/>
        </w:rPr>
        <w:t>https://pubmed.ncbi.nlm.nih.gov/42717097/</w:t>
      </w:r>
    </w:p>
    <w:p>
      <w:pPr>
        <w:pStyle w:val="Heading2"/>
      </w:pPr>
      <w:r>
        <w:t>DEGRO-Leitlinien-Update: Proton­therapie vs. Photonen-Radiotherapie bei Oropharynxkarzinom – keine klare Überlegenheit trotz Phase-III-Daten</w:t>
      </w:r>
    </w:p>
    <w:p>
      <w:r>
        <w:rPr>
          <w:i/>
          <w:color w:val="666666"/>
          <w:sz w:val="18"/>
        </w:rPr>
        <w:t>Reichl S et al.  ·  Strahlenther Onkol  ·  07.09.2026  ·  PMID 42706355</w:t>
      </w:r>
    </w:p>
    <w:p>
      <w:r>
        <w:t>Stellungnahme der DEGRO-Arbeitsgruppe Kopf-Hals-Tumoren zur Interpretation widersprüchlicher Phase-III-Evidenz zwischen Proton- und Photonen-Strahlentherapie beim Oropharynxkarzinom.</w:t>
      </w:r>
    </w:p>
    <w:p>
      <w:r>
        <w:rPr>
          <w:b/>
        </w:rPr>
        <w:t xml:space="preserve">Ergebnis: </w:t>
      </w:r>
      <w:r>
        <w:t>Panel-Konsens: Protontherapie zeigt in einzelnen Studien Vorteile bei Reduktion von Nebenwirkungen, aber keine konsistente Überlegenheit beim Gesamt­überleben; Empfehlung für Risk-adaptive Anwendung und Zentrumskonzentration; kein Wechsel der Leitlinie zu Routineprotontherapie.</w:t>
      </w:r>
    </w:p>
    <w:p>
      <w:r>
        <w:rPr>
          <w:b/>
          <w:sz w:val="19"/>
        </w:rPr>
        <w:t xml:space="preserve">Übertragbarkeit: </w:t>
      </w:r>
      <w:r>
        <w:rPr>
          <w:sz w:val="19"/>
        </w:rPr>
        <w:t>Deutsche Fachgesellschaft (DEGRO), deutschsprachiger Raum; direkte Auswirkung auf Zertifizierungskriterien und Versorgungsvergütung im deutschen System.</w:t>
      </w:r>
    </w:p>
    <w:p>
      <w:r>
        <w:rPr>
          <w:color w:val="5A7D3A"/>
          <w:sz w:val="18"/>
        </w:rPr>
        <w:t>https://pubmed.ncbi.nlm.nih.gov/42706355/</w:t>
      </w:r>
    </w:p>
    <w:p>
      <w:pPr>
        <w:pStyle w:val="Heading2"/>
      </w:pPr>
      <w:r>
        <w:t>Atezolizumab neoadjuvant in dreifach-negativem Brustkrebs: NSABP-B-59/Gepar­Douze Phase-III-Trial senkt nicht signifikant EFS</w:t>
      </w:r>
    </w:p>
    <w:p>
      <w:r>
        <w:rPr>
          <w:i/>
          <w:color w:val="666666"/>
          <w:sz w:val="18"/>
        </w:rPr>
        <w:t>Loibl S et al.  ·  Nat Med  ·  01.09.2026  ·  PMID 42680950</w:t>
      </w:r>
    </w:p>
    <w:p>
      <w:r>
        <w:t>Randomisiert 1.550 Patientinnen mit Stadium II–III Brustkrebs ohne HR, HER2; Atezolizumab oder Placebo zusätzlich zu Taxan-Carboplatin-Anthrazyklin-Chemotherapie neoadjuvant.</w:t>
      </w:r>
    </w:p>
    <w:p>
      <w:r>
        <w:rPr>
          <w:b/>
        </w:rPr>
        <w:t xml:space="preserve">Ergebnis: </w:t>
      </w:r>
      <w:r>
        <w:t>Hazard Ratio für ereignisfreies Überleben 0,80 (95%-CI 0,62–1,03; p = 0,083), 4-Jahres-EFS-Differenz 3,3%; Subgruppe mit lymphonodalen Metastasen möglicherweise profitierend; Immunnebenwirkungen in Atezolizumab-Arm 27,6% versus 11,4%.</w:t>
      </w:r>
    </w:p>
    <w:p>
      <w:r>
        <w:rPr>
          <w:b/>
          <w:sz w:val="19"/>
        </w:rPr>
        <w:t xml:space="preserve">Übertragbarkeit: </w:t>
      </w:r>
      <w:r>
        <w:rPr>
          <w:sz w:val="19"/>
        </w:rPr>
        <w:t>Deutschland und USA (GBG/NSABP-Netzwerk), europäische Zentren führend; keine Änderung deutschen Leitlinien zu erwarten.</w:t>
      </w:r>
    </w:p>
    <w:p>
      <w:r>
        <w:rPr>
          <w:color w:val="5A7D3A"/>
          <w:sz w:val="18"/>
        </w:rPr>
        <w:t>https://pubmed.ncbi.nlm.nih.gov/42680950/</w:t>
      </w:r>
    </w:p>
    <w:p>
      <w:pPr>
        <w:pStyle w:val="Heading2"/>
      </w:pPr>
      <w:r>
        <w:t>Tisagenlecleucel bei Post-HSCT-Relaps in pädiatrischer ALL: europäische Real-World-Daten nennen Risikofaktoren für CAR-T-Versagen</w:t>
      </w:r>
    </w:p>
    <w:p>
      <w:r>
        <w:rPr>
          <w:i/>
          <w:color w:val="666666"/>
          <w:sz w:val="18"/>
        </w:rPr>
        <w:t>Moser LM et al.  ·  Leukemia  ·  31.08.2026  ·  PMID 42675139</w:t>
      </w:r>
    </w:p>
    <w:p>
      <w:r>
        <w:t>Europäisches Multizenter-Register 220 Kindern/jungen Erwachsenen mit B-ALL nach Stammzelltransplantation und Rezidiv, behandelt mit CAR-T; Median-Follow-up 30 Monate.</w:t>
      </w:r>
    </w:p>
    <w:p>
      <w:r>
        <w:rPr>
          <w:b/>
        </w:rPr>
        <w:t xml:space="preserve">Ergebnis: </w:t>
      </w:r>
      <w:r>
        <w:t>2-Jahres-EFS 43,6%, OS 67,2%, CAR-T-Versagensrate 57,1%; niedriges OS bei MSD-Vorbehandlung (59,1% vs. Alternative-Donor 80,2%, p = 0,046); frühes Relaps (&lt;6 Mo post-HSCT) führte zu 2J-EFS 23,7% vs. 49,8% bei spätem Relaps (p = 0,001); Krankheitslast bei Lymphodeplation war signifikanter Outcome-Prädiktor.</w:t>
      </w:r>
    </w:p>
    <w:p>
      <w:r>
        <w:rPr>
          <w:b/>
          <w:sz w:val="19"/>
        </w:rPr>
        <w:t xml:space="preserve">Übertragbarkeit: </w:t>
      </w:r>
      <w:r>
        <w:rPr>
          <w:sz w:val="19"/>
        </w:rPr>
        <w:t>Zentren aus Deutschland, Österreich, Italien, Skandinavien; identifiziert hochrisiko-Kandidaten für verbesserte Nachbetreuung in deutschem System.</w:t>
      </w:r>
    </w:p>
    <w:p>
      <w:r>
        <w:rPr>
          <w:color w:val="5A7D3A"/>
          <w:sz w:val="18"/>
        </w:rPr>
        <w:t>https://pubmed.ncbi.nlm.nih.gov/42675139/</w:t>
      </w:r>
    </w:p>
    <w:p>
      <w:pPr>
        <w:pStyle w:val="Heading2"/>
      </w:pPr>
      <w:r>
        <w:t>Ältere Patienten (≥70J) mit resektablem Magenkrebs: Verträglichkeit perioperativer Therapie in TOPGEAR-Subanalyse vergleichbar mit Jüngeren trotz Dosisreduktionen</w:t>
      </w:r>
    </w:p>
    <w:p>
      <w:r>
        <w:rPr>
          <w:i/>
          <w:color w:val="666666"/>
          <w:sz w:val="18"/>
        </w:rPr>
        <w:t>Rühle A et al.  ·  Eur J Cancer  ·  05.10.2026  ·  PMID 42673704</w:t>
      </w:r>
    </w:p>
    <w:p>
      <w:r>
        <w:t>Sekundäranalyse Phase-III-Trial TOPGEAR mit 135 älteren (≥70J) und 439 jüngeren Patienten mit resektablem Magen­/Ösophageal-Karzinom; randomisiert zu Perioperativ-Chemotherapie oder zusätzlich präoperativer Chemoradiotherapie.</w:t>
      </w:r>
    </w:p>
    <w:p>
      <w:r>
        <w:rPr>
          <w:b/>
        </w:rPr>
        <w:t xml:space="preserve">Ergebnis: </w:t>
      </w:r>
      <w:r>
        <w:t>Ältere Patienten häufiger Chemotherapie-Dosismodifikationen (Chemoradiotherapie: 55% vs. 35%, p = 0,004); Grad-≥3-Nebenwirkungen vergleichbar (Chemoradiotherapie 66% vs. 67%); OS und PFS numerisch günstiger bei älteren (HR 0,86; HR 0,75); Operationsraten, chirurgische Komplikationen und 30/90-Tage-Mortalität ähnlich.</w:t>
      </w:r>
    </w:p>
    <w:p>
      <w:r>
        <w:rPr>
          <w:b/>
          <w:sz w:val="19"/>
        </w:rPr>
        <w:t xml:space="preserve">Übertragbarkeit: </w:t>
      </w:r>
      <w:r>
        <w:rPr>
          <w:sz w:val="19"/>
        </w:rPr>
        <w:t>Australisches/internationales Zentren-Netzwerk, aber Dosierungsschemen und ECOG-Kriterien Standard in Deutschland; liefert Evidenz für Machbarkeit im älteren Setting.</w:t>
      </w:r>
    </w:p>
    <w:p>
      <w:r>
        <w:rPr>
          <w:color w:val="5A7D3A"/>
          <w:sz w:val="18"/>
        </w:rPr>
        <w:t>https://pubmed.ncbi.nlm.nih.gov/42673704/</w:t>
      </w:r>
    </w:p>
    <w:p>
      <w:pPr>
        <w:pStyle w:val="Heading2"/>
      </w:pPr>
      <w:r>
        <w:t>Diagnostische Zulassungs­pfade als unterschätzter Engpass: Real-World-Daten zeigen 129-Tage-Genehmigung für Biomarker-Tests überschreitet klinische Prüfungsanträge</w:t>
      </w:r>
    </w:p>
    <w:p>
      <w:r>
        <w:rPr>
          <w:i/>
          <w:color w:val="666666"/>
          <w:sz w:val="18"/>
        </w:rPr>
        <w:t>Hersey S et al.  ·  Eur J Cancer  ·  05.10.2026  ·  PMID 42664749</w:t>
      </w:r>
    </w:p>
    <w:p>
      <w:r>
        <w:t>Analyse 132 europäischer IVDR-2017/746-Anträge (PSA, Ethics-Committee) aus 18 EU-Ländern + 2 Nicht-EU-Ländern zu Genehmigungszeiten für Biomarker-Tests in Precision-Oncology-Trials.</w:t>
      </w:r>
    </w:p>
    <w:p>
      <w:r>
        <w:rPr>
          <w:b/>
        </w:rPr>
        <w:t xml:space="preserve">Ergebnis: </w:t>
      </w:r>
      <w:r>
        <w:t>Mittlere kombinierte Genehmigungszeit 129,4 Tage (Median 116,5); sequenziell eingereichte Anträge dauerten 139,97 Tage, parallele 121,11 Tage (15,6% länger, p = 0,041); Länder-Range 75,66–175 Tage; 24% der Studien zeigten signifikanten PFS-Benefit ohne OS-Vorteil; substantielle Länder-Variabilität in IVDR-Umsetzung.</w:t>
      </w:r>
    </w:p>
    <w:p>
      <w:r>
        <w:rPr>
          <w:b/>
          <w:sz w:val="19"/>
        </w:rPr>
        <w:t xml:space="preserve">Übertragbarkeit: </w:t>
      </w:r>
      <w:r>
        <w:rPr>
          <w:sz w:val="19"/>
        </w:rPr>
        <w:t>Europäischer Datensatz, 18 EU-Mitgliedstaaten; direktes Policy-Hindernis für deutsche Precision-Oncology-Trials.</w:t>
      </w:r>
    </w:p>
    <w:p>
      <w:r>
        <w:rPr>
          <w:color w:val="5A7D3A"/>
          <w:sz w:val="18"/>
        </w:rPr>
        <w:t>https://pubmed.ncbi.nlm.nih.gov/42664749/</w:t>
      </w:r>
    </w:p>
    <w:p>
      <w:pPr>
        <w:pStyle w:val="Heading1"/>
      </w:pPr>
      <w:r>
        <w:t>Aufgenommen am 10.09.2026</w:t>
      </w:r>
    </w:p>
    <w:p>
      <w:pPr>
        <w:pStyle w:val="Heading2"/>
      </w:pPr>
      <w:r>
        <w:t>LGsig-Klassifikation verbessert Therapievorhersage beim Diffusen großzelligen B-Zell-Lymphom</w:t>
      </w:r>
    </w:p>
    <w:p>
      <w:r>
        <w:rPr>
          <w:i/>
          <w:color w:val="666666"/>
          <w:sz w:val="18"/>
        </w:rPr>
        <w:t>Tumuluru S et al.  ·  J Clin Oncol  ·  09.09.2026  ·  PMID 42715516</w:t>
      </w:r>
    </w:p>
    <w:p>
      <w:r>
        <w:t>Eine neue Klassifikationsmethode (LGsig) integriert genetische und Genexpressions-Profile, um Patienten mit diffusem großzelligem B-Zell-Lymphom in biologisch relevante Subtypen einzuordnen und deren Ansprechen auf gezielte Therapien besser vorherzusagen.</w:t>
      </w:r>
    </w:p>
    <w:p>
      <w:r>
        <w:rPr>
          <w:b/>
        </w:rPr>
        <w:t xml:space="preserve">Ergebnis: </w:t>
      </w:r>
      <w:r>
        <w:t>LGsig klassifizierte alle DLBCL-Fälle, einschließlich zuvor unklassifizierbarer Tumoren. In der POLARIX-Studie zeigte sich ein signifikanter Überlebensvorteil für Patienten mit bestimmten LGsig-Subtypen unter Polatuzumab vedotin-R-CHP versus R-CHOP in sowohl genetisch klassifizierten als auch unklassifizierten Fällen.</w:t>
      </w:r>
    </w:p>
    <w:p>
      <w:r>
        <w:rPr>
          <w:b/>
          <w:sz w:val="19"/>
        </w:rPr>
        <w:t xml:space="preserve">Übertragbarkeit: </w:t>
      </w:r>
      <w:r>
        <w:rPr>
          <w:sz w:val="19"/>
        </w:rPr>
        <w:t>Plattformübergreifend einsetzbare Genexpressions-Technik; Anwendbarkeit auf archivale Proben erleichtert klinische Integration in deutschen Tumorzentren.</w:t>
      </w:r>
    </w:p>
    <w:p>
      <w:r>
        <w:rPr>
          <w:color w:val="5A7D3A"/>
          <w:sz w:val="18"/>
        </w:rPr>
        <w:t>https://pubmed.ncbi.nlm.nih.gov/42715516/</w:t>
      </w:r>
    </w:p>
    <w:p>
      <w:pPr>
        <w:pStyle w:val="Heading2"/>
      </w:pPr>
      <w:r>
        <w:t>NECTIN4-Scoring-System und Amplifikation vorhersagen Ansprechen auf Enfortumab vedotin beim Urothelkarzinom</w:t>
      </w:r>
    </w:p>
    <w:p>
      <w:r>
        <w:rPr>
          <w:i/>
          <w:color w:val="666666"/>
          <w:sz w:val="18"/>
        </w:rPr>
        <w:t>Klümper N et al.  ·  Clin Cancer Res  ·  09.09.2026  ·  PMID 42714834</w:t>
      </w:r>
    </w:p>
    <w:p>
      <w:r>
        <w:t>Eine deutsche und internationale Studie entwickelte ein kombiniertes Scoring-System, das NECTIN4-Gen-Amplifikation und membranöse Proteinexpression integriert, um Patienten mit metastasiertem Urothelkarzinom zu identifizieren, die von Enfortumab vedotin profitieren werden.</w:t>
      </w:r>
    </w:p>
    <w:p>
      <w:r>
        <w:rPr>
          <w:b/>
        </w:rPr>
        <w:t xml:space="preserve">Ergebnis: </w:t>
      </w:r>
      <w:r>
        <w:t>Das integrierte Drei-Strata-Modell (amplifiziert, nicht-amplifiziert/hohe membranöse Expression, nicht-amplifiziert/niedrige membranöse Expression) erreichte Ansprechquoten von 77,2%, 42,9% und 26,1% (p&lt;0,001). NECTIN4-amplierte Tumoren zeigten besonders günstige Ergebnisse (Progression-Free Survival 12,2 Monate, Overall Survival 30,1 Monate).</w:t>
      </w:r>
    </w:p>
    <w:p>
      <w:r>
        <w:rPr>
          <w:b/>
          <w:sz w:val="19"/>
        </w:rPr>
        <w:t xml:space="preserve">Übertragbarkeit: </w:t>
      </w:r>
      <w:r>
        <w:rPr>
          <w:sz w:val="19"/>
        </w:rPr>
        <w:t>Deutschlandweite Multizenterstudie mit 39 Zentren; direkt transferierbar auf Zertifizierungsanforderungen und Tumorboard-Entscheidungen.</w:t>
      </w:r>
    </w:p>
    <w:p>
      <w:r>
        <w:rPr>
          <w:color w:val="5A7D3A"/>
          <w:sz w:val="18"/>
        </w:rPr>
        <w:t>https://pubmed.ncbi.nlm.nih.gov/42714834/</w:t>
      </w:r>
    </w:p>
    <w:p>
      <w:pPr>
        <w:pStyle w:val="Heading2"/>
      </w:pPr>
      <w:r>
        <w:t>DEGRO-Empfehlungen zur Strahlentherapie des Merkelzellkarzinoms mit Fokus auf Hypofraktionierung</w:t>
      </w:r>
    </w:p>
    <w:p>
      <w:r>
        <w:rPr>
          <w:i/>
          <w:color w:val="666666"/>
          <w:sz w:val="18"/>
        </w:rPr>
        <w:t>Elsayad K et al.  ·  Strahlenther Onkol  ·  09.09.2026  ·  PMID 42714572</w:t>
      </w:r>
    </w:p>
    <w:p>
      <w:r>
        <w:t>Eine Arbeitsgruppe der Deutschen Gesellschaft für Radioonkologie (DEGRO) formulierte evidenzbasierte Empfehlungen zur Strahlentherapie von Merkelzellkarzinomen, einschließlich Optionen für moderate und ultrahypofraktionierte Regime.</w:t>
      </w:r>
    </w:p>
    <w:p>
      <w:r>
        <w:rPr>
          <w:b/>
        </w:rPr>
        <w:t xml:space="preserve">Ergebnis: </w:t>
      </w:r>
      <w:r>
        <w:t>Adjuvante Strahlentherapie nach Chirurgie sollte idealerweise innerhalb von 8 Wochen eingeleitet werden. Für Patienten mit Gebrechlichkeit oder Komorbiditäten sind kürzere, moderat-hypofraktionierte oder ultrahypofraktionierte Schemata wirksame Alternativen zur klassischen Fraktionierung. Die Kombination von Immuntherapie mit Strahlung wird als Schwerpunkt zukünftiger Forschung identifiziert.</w:t>
      </w:r>
    </w:p>
    <w:p>
      <w:r>
        <w:rPr>
          <w:b/>
          <w:sz w:val="19"/>
        </w:rPr>
        <w:t xml:space="preserve">Übertragbarkeit: </w:t>
      </w:r>
      <w:r>
        <w:rPr>
          <w:sz w:val="19"/>
        </w:rPr>
        <w:t>Deutsche Fachgesellschafts-Leitlinie; direkte Implementierbarkeit in Zertifizierungsprozesse und klinische Routine.</w:t>
      </w:r>
    </w:p>
    <w:p>
      <w:r>
        <w:rPr>
          <w:color w:val="5A7D3A"/>
          <w:sz w:val="18"/>
        </w:rPr>
        <w:t>https://pubmed.ncbi.nlm.nih.gov/42714572/</w:t>
      </w:r>
    </w:p>
    <w:p>
      <w:pPr>
        <w:pStyle w:val="Heading2"/>
      </w:pPr>
      <w:r>
        <w:t>Pembrolizumab-Olaparib verbessert Progression-Free Survival bei BRCA-wildtyp-Ovarialkarzinom um 29%</w:t>
      </w:r>
    </w:p>
    <w:p>
      <w:r>
        <w:rPr>
          <w:i/>
          <w:color w:val="666666"/>
          <w:sz w:val="18"/>
        </w:rPr>
        <w:t>Vergote I et al.  ·  Lancet Oncol  ·  07.09.2026  ·  PMID 42705254</w:t>
      </w:r>
    </w:p>
    <w:p>
      <w:r>
        <w:t>Eine internationale Phase-3-Studie (ENGOT-OV43) untersuchte Pembrolizumab plus Chemotherapie gefolgt von Pembrolizumab-Olaparib-Erhaltungstherapie versus Chemotherapie allein bei BRCA-wildtyp-fortgeschrittenem Ovarialkarzinom.</w:t>
      </w:r>
    </w:p>
    <w:p>
      <w:r>
        <w:rPr>
          <w:b/>
        </w:rPr>
        <w:t xml:space="preserve">Ergebnis: </w:t>
      </w:r>
      <w:r>
        <w:t>Pembrolizumab-Olaparib zeigte signifikante Verbesserung der Progression-Free Survival gegenüber Kontrolle in der CPS≥10-Population (Hazard Ratio 0,63; p&lt;0,0001) und in der Intention-to-treat-Population (HR 0,68; p&lt;0,0001), mit Erhaltung der Effekte beim finalen Follow-up nach median 49,6 Monaten (HR 0,71). Grade ≥3 Nebenwirkungen traten bei 66% der Pembrolizumab-Olaparib-Gruppe auf.</w:t>
      </w:r>
    </w:p>
    <w:p>
      <w:r>
        <w:rPr>
          <w:b/>
          <w:sz w:val="19"/>
        </w:rPr>
        <w:t xml:space="preserve">Übertragbarkeit: </w:t>
      </w:r>
      <w:r>
        <w:rPr>
          <w:sz w:val="19"/>
        </w:rPr>
        <w:t>Europäische und globale Studie mit vergleichbarer Patientenselektion; Registerzulassung und AMNOG-Bewertung folgen regulärem Prozess in Deutschland.</w:t>
      </w:r>
    </w:p>
    <w:p>
      <w:r>
        <w:rPr>
          <w:color w:val="5A7D3A"/>
          <w:sz w:val="18"/>
        </w:rPr>
        <w:t>https://pubmed.ncbi.nlm.nih.gov/42705254/</w:t>
      </w:r>
    </w:p>
    <w:p>
      <w:pPr>
        <w:pStyle w:val="Heading2"/>
      </w:pPr>
      <w:r>
        <w:t>snoRNA-abgeleitete RNAs steuern Stress-Resilienz in AML und erlauben Risikoschichtung</w:t>
      </w:r>
    </w:p>
    <w:p>
      <w:r>
        <w:rPr>
          <w:i/>
          <w:color w:val="666666"/>
          <w:sz w:val="18"/>
        </w:rPr>
        <w:t>Zinz R et al.  ·  Leukemia  ·  04.09.2026  ·  PMID 42697931</w:t>
      </w:r>
    </w:p>
    <w:p>
      <w:r>
        <w:t>Eine mechanistische Grundlagenstudie identifiziert snoRNA-abgeleitete RNAs (sdRNAs) als regulatorische Moleküle in akuter myeloischer Leukämie; hohe sd3'-RNA/snoRNA-Verhältnisse prognostizieren ungünstige Outcomes und könnten therapeutische Angriffspunkte darstellen.</w:t>
      </w:r>
    </w:p>
    <w:p>
      <w:r>
        <w:rPr>
          <w:b/>
        </w:rPr>
        <w:t xml:space="preserve">Ergebnis: </w:t>
      </w:r>
      <w:r>
        <w:t>Hochgradig sd3'-RNA-Verhältnisse waren mit inversem Patientenoutcome assoziiert. Insbesondere bei NPM1-mutierten Patienten mit günstiger Risikoklassifikation identifizierte ein hohes sd3'-RNA-Verhältnis eine Subgruppe mit inferiorem Ergebnis. Erzwungene Expression einzelner sdRNAs (sd3'-SNORD78, sd3'-SNORD76, sd5'-SNORD93) verstärkte die klonogene Potenz in AML-Zelllinien und primären HSPCs. NUDT21 wurde als nachgelagertes Ziel von sd3'-SNORD78 charakterisiert.</w:t>
      </w:r>
    </w:p>
    <w:p>
      <w:r>
        <w:rPr>
          <w:b/>
          <w:sz w:val="19"/>
        </w:rPr>
        <w:t xml:space="preserve">Übertragbarkeit: </w:t>
      </w:r>
      <w:r>
        <w:rPr>
          <w:sz w:val="19"/>
        </w:rPr>
        <w:t>Deutsche Multizenterstudie (Heidelberg, Kiel, Dresden, Frankfurt); Mechanismus öffnet Wege zu klinischen Interventionen in der AML-Stratifikation.</w:t>
      </w:r>
    </w:p>
    <w:p>
      <w:r>
        <w:rPr>
          <w:color w:val="5A7D3A"/>
          <w:sz w:val="18"/>
        </w:rPr>
        <w:t>https://pubmed.ncbi.nlm.nih.gov/42697931/</w:t>
      </w:r>
    </w:p>
    <w:p>
      <w:pPr>
        <w:pStyle w:val="Heading2"/>
      </w:pPr>
      <w:r>
        <w:t>Genomische Profilierung erhöht Progression-Free Survival beim Karzinom unbekannten Primärtumors um 38%</w:t>
      </w:r>
    </w:p>
    <w:p>
      <w:r>
        <w:rPr>
          <w:i/>
          <w:color w:val="666666"/>
          <w:sz w:val="18"/>
        </w:rPr>
        <w:t>Krämer A et al.  ·  J Clin Oncol  ·  03.09.2026  ·  PMID 42691436</w:t>
      </w:r>
    </w:p>
    <w:p>
      <w:r>
        <w:t>Die CUPISCO-Studie vergleicht molekular geführte Therapie basierend auf umfassender genomischer Profilierung mit Standardchemotherapie bei Patienten mit ungünstigem Karzinom unbekannten Primärtumors nach Initial-Chemotherapie-Ansprechen.</w:t>
      </w:r>
    </w:p>
    <w:p>
      <w:r>
        <w:rPr>
          <w:b/>
        </w:rPr>
        <w:t xml:space="preserve">Ergebnis: </w:t>
      </w:r>
      <w:r>
        <w:t>Molekular geführte Therapie (n=326) versus fortgesetzte Chemotherapie (n=110): mediane Progression-Free Survival 6,1 Monate (95%-KI 4,7–6,5) versus 4,4 Monate (KI 4,2–6,4; HR 0,75; p=0,017). Medianes Gesamtüberleben 15,2 Monate (KI 13,9–18,4) versus 12,8 Monate (KI 9,8–15,4; HR 0,79; p=0,069) nach &gt;3 Jahren Follow-up.</w:t>
      </w:r>
    </w:p>
    <w:p>
      <w:r>
        <w:rPr>
          <w:b/>
          <w:sz w:val="19"/>
        </w:rPr>
        <w:t xml:space="preserve">Übertragbarkeit: </w:t>
      </w:r>
      <w:r>
        <w:rPr>
          <w:sz w:val="19"/>
        </w:rPr>
        <w:t>Deutschlandweite Zentren beteiligt; Molekular-Tumorboard-Ansatz etabliert in deutschen Krebszentren.</w:t>
      </w:r>
    </w:p>
    <w:p>
      <w:r>
        <w:rPr>
          <w:color w:val="5A7D3A"/>
          <w:sz w:val="18"/>
        </w:rPr>
        <w:t>https://pubmed.ncbi.nlm.nih.gov/42691436/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Onkologie</dc:title>
  <dc:subject/>
  <dc:creator>Monitor Versorgungsforschung</dc:creator>
  <cp:keywords/>
  <dc:description>generated by python-docx</dc:description>
  <cp:lastModifiedBy/>
  <cp:revision>1</cp:revision>
  <dcterms:created xsi:type="dcterms:W3CDTF">2026-10-10T06:00:00Z</dcterms:created>
  <dcterms:modified xsi:type="dcterms:W3CDTF">2026-10-10T06:00:00Z</dcterms:modified>
  <cp:category/>
</cp:coreProperties>
</file>