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Onkologie</w:t>
      </w:r>
    </w:p>
    <w:p>
      <w:r>
        <w:rPr>
          <w:i/>
          <w:color w:val="666666"/>
          <w:sz w:val="18"/>
        </w:rPr>
        <w:t>Stand: 17.10.2026  |  231 Studien  |  onkologie.m-vf.de</w:t>
      </w:r>
    </w:p>
    <w:p>
      <w:pPr>
        <w:pStyle w:val="Heading1"/>
      </w:pPr>
      <w:r>
        <w:t>Aufgenommen am 17.10.2026</w:t>
      </w:r>
    </w:p>
    <w:p>
      <w:pPr>
        <w:pStyle w:val="Heading2"/>
      </w:pPr>
      <w:r>
        <w:t>Camrelizumab + Docetaxel/Carboplatin verbessert pathologische Komplettremission bei triple-negativem Brustkrebs</w:t>
      </w:r>
    </w:p>
    <w:p>
      <w:r>
        <w:rPr>
          <w:i/>
          <w:color w:val="666666"/>
          <w:sz w:val="18"/>
        </w:rPr>
        <w:t>Jiao D et al.  ·  Ann Oncol  ·  16.10.2026  ·  PMID 42887596</w:t>
      </w:r>
    </w:p>
    <w:p>
      <w:r>
        <w:t>Randomisierte Phase-III-Studie (China, 352 Patienten) zum Vergleich von Chemotherapie allein versus kombiniert mit dem PD-L1-Inhibitor Camrelizumab als neoadjuvante Therapie bei Stadien II-III triple-negativem Brustkrebs.</w:t>
      </w:r>
    </w:p>
    <w:p>
      <w:r>
        <w:rPr>
          <w:b/>
        </w:rPr>
        <w:t xml:space="preserve">Ergebnis: </w:t>
      </w:r>
      <w:r>
        <w:t>Pathologische Komplettremissionsrate (pCR) 57,5% unter Camrelizumab+Chemotherapie vs. 45,4% unter Chemotherapie allein (absoluter Unterschied 12,2%, p=0,014). Grad-3-4-Nebenwirkungen 24,9% vs. 21,8%; keine therapiebezogenen Todesfälle. Die Anthrazyklin-freie Kombination war gut verträglich.</w:t>
      </w:r>
    </w:p>
    <w:p>
      <w:r>
        <w:rPr>
          <w:b/>
          <w:sz w:val="19"/>
        </w:rPr>
        <w:t xml:space="preserve">Übertragbarkeit: </w:t>
      </w:r>
      <w:r>
        <w:rPr>
          <w:sz w:val="19"/>
        </w:rPr>
        <w:t>Neue Therapieoption für deutsches Gesundheitssystem, vergleichbare Studienqualität; Zulassung erforderlich.</w:t>
      </w:r>
    </w:p>
    <w:p>
      <w:r>
        <w:rPr>
          <w:color w:val="5A7D3A"/>
          <w:sz w:val="18"/>
        </w:rPr>
        <w:t>https://pubmed.ncbi.nlm.nih.gov/42887596/</w:t>
      </w:r>
    </w:p>
    <w:p>
      <w:pPr>
        <w:pStyle w:val="Heading2"/>
      </w:pPr>
      <w:r>
        <w:t>Firmonertinib zeigt hohe Ansprechrate bei seltenen EGFR-Mutationen in Lungenkrebs</w:t>
      </w:r>
    </w:p>
    <w:p>
      <w:r>
        <w:rPr>
          <w:i/>
          <w:color w:val="666666"/>
          <w:sz w:val="18"/>
        </w:rPr>
        <w:t>Le X et al.  ·  Cancer Cell  ·  16.10.2026  ·  PMID 42887497</w:t>
      </w:r>
    </w:p>
    <w:p>
      <w:r>
        <w:t>Phase-1b-Studie (FURTHER, multinationales Setting) mit 47 Patienten zu Firmonertinib, einem mutant-selektiven EGFR-TKI mit Gehirngängigkeit, bei fortgeschrittenem NSCLC mit EGFR-PACC-Mutationen.</w:t>
      </w:r>
    </w:p>
    <w:p>
      <w:r>
        <w:rPr>
          <w:b/>
        </w:rPr>
        <w:t xml:space="preserve">Ergebnis: </w:t>
      </w:r>
      <w:r>
        <w:t>Bei 160 mg: objektive Ansprechrate (ORR) 43%, medianes progressionsfreies Überleben (PFS) 11,1 Monate. Bei 240 mg: ORR 68%, medianes PFS 16,0 Monate. Bei Patienten mit Hirnmetastasen intranaale ORR 47% (8/17). Nebenwirkungen managebar, Dosisreduktionen 19-24%, kein Therapieabbruch wegen Toxizität.</w:t>
      </w:r>
    </w:p>
    <w:p>
      <w:r>
        <w:rPr>
          <w:b/>
          <w:sz w:val="19"/>
        </w:rPr>
        <w:t xml:space="preserve">Übertragbarkeit: </w:t>
      </w:r>
      <w:r>
        <w:rPr>
          <w:sz w:val="19"/>
        </w:rPr>
        <w:t>Seltene Mutationsgruppe; Übertragbarkeit auf Deutschland nach Zulassung gegeben.</w:t>
      </w:r>
    </w:p>
    <w:p>
      <w:r>
        <w:rPr>
          <w:color w:val="5A7D3A"/>
          <w:sz w:val="18"/>
        </w:rPr>
        <w:t>https://pubmed.ncbi.nlm.nih.gov/42887497/</w:t>
      </w:r>
    </w:p>
    <w:p>
      <w:pPr>
        <w:pStyle w:val="Heading2"/>
      </w:pPr>
      <w:r>
        <w:t>Lazertinib-Fortsetzung mit Chemotherapie nach Progression wirksam bei EGFR-mutantem Lungenkrebs</w:t>
      </w:r>
    </w:p>
    <w:p>
      <w:r>
        <w:rPr>
          <w:i/>
          <w:color w:val="666666"/>
          <w:sz w:val="18"/>
        </w:rPr>
        <w:t>Hong MH et al.  ·  Eur J Cancer  ·  08.10.2026  ·  PMID 42887461</w:t>
      </w:r>
    </w:p>
    <w:p>
      <w:r>
        <w:t>Phase-II-Studie (LUCAS, Südkorea, 86 Patienten) zur Kombination von Lazertinib mit Platin-Pemetrexed nach Progression unter vorherigem Lazertinib bei fortgeschrittenem EGFR-mutantem NSCLC.</w:t>
      </w:r>
    </w:p>
    <w:p>
      <w:r>
        <w:rPr>
          <w:b/>
        </w:rPr>
        <w:t xml:space="preserve">Ergebnis: </w:t>
      </w:r>
      <w:r>
        <w:t>Medianes PFS 9,5 Monate (p=0,017 gegen Nullhypothese 6,0 Monate). Medianes Gesamtüberleben (OS) 15,9 Monate. Objektive Ansprechrate 36,0%. Bei Patienten mit Hirnmetastasen medianes intrakranielles PFS 9,9 Monate mit seltener isolierter intrakranieller Progression. Grad-≥3-Nebenwirkungen 69,8%, überwiegend hämatologisch.</w:t>
      </w:r>
    </w:p>
    <w:p>
      <w:r>
        <w:rPr>
          <w:b/>
          <w:sz w:val="19"/>
        </w:rPr>
        <w:t xml:space="preserve">Übertragbarkeit: </w:t>
      </w:r>
      <w:r>
        <w:rPr>
          <w:sz w:val="19"/>
        </w:rPr>
        <w:t>Südkorea, vergleichbares Versicherungssystem; Lazertinib in Deutschland verfügbar.</w:t>
      </w:r>
    </w:p>
    <w:p>
      <w:r>
        <w:rPr>
          <w:color w:val="5A7D3A"/>
          <w:sz w:val="18"/>
        </w:rPr>
        <w:t>https://pubmed.ncbi.nlm.nih.gov/42887461/</w:t>
      </w:r>
    </w:p>
    <w:p>
      <w:pPr>
        <w:pStyle w:val="Heading2"/>
      </w:pPr>
      <w:r>
        <w:t>Finanzielle Navigationsberatung reduziert finanzielle Belastung bei Krebspatienten um 8 Punkte</w:t>
      </w:r>
    </w:p>
    <w:p>
      <w:r>
        <w:rPr>
          <w:i/>
          <w:color w:val="666666"/>
          <w:sz w:val="18"/>
        </w:rPr>
        <w:t>Wheeler SB et al.  ·  J Clin Oncol  ·  16.10.2026  ·  PMID 42885694</w:t>
      </w:r>
    </w:p>
    <w:p>
      <w:r>
        <w:t>Pragmatische Hybrid-Implementierungsstudie (USA, 8 Zentren: 4 ländlich, 4 urban; 179 Patienten mit finanzieller Belastung) zur Wirksamkeit von spezialisierter Finanzierungsberatung für Krebspatienten.</w:t>
      </w:r>
    </w:p>
    <w:p>
      <w:r>
        <w:rPr>
          <w:b/>
        </w:rPr>
        <w:t xml:space="preserve">Ergebnis: </w:t>
      </w:r>
      <w:r>
        <w:t>FACIT-COST-Punktzahl verbesserte sich signifikant um 8,1 Punkte (SD 10,0; p&lt;0,0001), von 6,6 (vor) auf 14,7 (nach). Ansprechen bei ländlichen Orten: +6,3 Punkte; bei urbanen: +9,3 Punkte. Interventionsnutzung hoch (73% der positiv gescreenten Patienten). Intervention als akzeptabel, responsiv und zeitgerecht bewertet.</w:t>
      </w:r>
    </w:p>
    <w:p>
      <w:r>
        <w:rPr>
          <w:b/>
          <w:sz w:val="19"/>
        </w:rPr>
        <w:t xml:space="preserve">Übertragbarkeit: </w:t>
      </w:r>
      <w:r>
        <w:rPr>
          <w:sz w:val="19"/>
        </w:rPr>
        <w:t>USA-Versorgungssystem; finanztoxisches Belastungsmodell auf deutsche Versorgung begrenzt übertragbar.</w:t>
      </w:r>
    </w:p>
    <w:p>
      <w:r>
        <w:rPr>
          <w:color w:val="5A7D3A"/>
          <w:sz w:val="18"/>
        </w:rPr>
        <w:t>https://pubmed.ncbi.nlm.nih.gov/42885694/</w:t>
      </w:r>
    </w:p>
    <w:p>
      <w:pPr>
        <w:pStyle w:val="Heading2"/>
      </w:pPr>
      <w:r>
        <w:t>QOPI-Qualitätskertifizierung in Spanien verbesser Patientenzufriedenheit und Schmerzmanagement</w:t>
      </w:r>
    </w:p>
    <w:p>
      <w:r>
        <w:rPr>
          <w:i/>
          <w:color w:val="666666"/>
          <w:sz w:val="18"/>
        </w:rPr>
        <w:t>García-Foncillas J et al.  ·  JCO Oncol Pract  ·  16.10.2026  ·  PMID 42885681</w:t>
      </w:r>
    </w:p>
    <w:p>
      <w:r>
        <w:t>Spanien, longitudinale Beschreibungsstudie über 10 Jahre QOPI-Implementierung (2015–2025) in onkologischen Praxen zur Bewertung von Qualitätsmaßnahmen und Zertifizierungsergebnissen über wiederholte Messzyklen.</w:t>
      </w:r>
    </w:p>
    <w:p>
      <w:r>
        <w:rPr>
          <w:b/>
        </w:rPr>
        <w:t xml:space="preserve">Ergebnis: </w:t>
      </w:r>
      <w:r>
        <w:t>Zertifizierte Praxen zeigten Verbesserungen in patientenzentrierten Maßnahmen nach Zertifizierung: emotionales Wohlbefinden 75,6% → 85,2%, Unfruchtbarkeitsrisiko-Gespräche 70,3% → 78,7%, angemessenes Schmerzmanagement 83,6% → 89,2%, Schmerzerfassung 83,6% → 89,5%. Benchmarking zeigte Verschiebung dieser Maßnahmen über QOPI-Durchschnitt nach Zertifizierung. Persistierende Verbesserungschancen in Therapieverifikation und Patienteninformation.</w:t>
      </w:r>
    </w:p>
    <w:p>
      <w:r>
        <w:rPr>
          <w:b/>
          <w:sz w:val="19"/>
        </w:rPr>
        <w:t xml:space="preserve">Übertragbarkeit: </w:t>
      </w:r>
      <w:r>
        <w:rPr>
          <w:sz w:val="19"/>
        </w:rPr>
        <w:t>Spanien, vergleichbares Sozialversicherungssystem; QOPI-Modell auf deutsche Onkologie-Zertifizierung übertragbar.</w:t>
      </w:r>
    </w:p>
    <w:p>
      <w:r>
        <w:rPr>
          <w:color w:val="5A7D3A"/>
          <w:sz w:val="18"/>
        </w:rPr>
        <w:t>https://pubmed.ncbi.nlm.nih.gov/42885681/</w:t>
      </w:r>
    </w:p>
    <w:p>
      <w:pPr>
        <w:pStyle w:val="Heading2"/>
      </w:pPr>
      <w:r>
        <w:t>NTCP-Modell für Speiseröhrentoxizität optimiert Protontherapie-Auswahl bei Lungenkrebs</w:t>
      </w:r>
    </w:p>
    <w:p>
      <w:r>
        <w:rPr>
          <w:i/>
          <w:color w:val="666666"/>
          <w:sz w:val="18"/>
        </w:rPr>
        <w:t>Wijsman R et al.  ·  Radiother Oncol  ·  15.10.2026  ·  PMID 42880415</w:t>
      </w:r>
    </w:p>
    <w:p>
      <w:r>
        <w:t>Niederlande, prospektive Validierungsstudie an 937 Patienten zur Überprüfung und Aktualisierung eines NTCP-Modells (normal tissue complication probability) zur Vorhersage von Grad-≥2-Speiseröhrentoxizität unter Radiotherapie bei Lungenkrebs.</w:t>
      </w:r>
    </w:p>
    <w:p>
      <w:r>
        <w:rPr>
          <w:b/>
        </w:rPr>
        <w:t xml:space="preserve">Ergebnis: </w:t>
      </w:r>
      <w:r>
        <w:t>Aktualisiertes Modell mit mittlerer Oesophagusdosis (MOD) und Gesamtbehandlungszeit (OTT) als Prädiktoren erreichte optimism-korrigierte AUC 0,75 mit Kalibrationsabfall 1,26. Heterogenität der Modellperformance über Kohorten I²=0%. Modell in nationales Indikationsprotokoll für Protontherapie-Auswahl aufgenommen.</w:t>
      </w:r>
    </w:p>
    <w:p>
      <w:r>
        <w:rPr>
          <w:b/>
          <w:sz w:val="19"/>
        </w:rPr>
        <w:t xml:space="preserve">Übertragbarkeit: </w:t>
      </w:r>
      <w:r>
        <w:rPr>
          <w:sz w:val="19"/>
        </w:rPr>
        <w:t>Niederländische Klinikdaten; direkt anwendbar auf deutsche Protontherapie-Zentren.</w:t>
      </w:r>
    </w:p>
    <w:p>
      <w:r>
        <w:rPr>
          <w:color w:val="5A7D3A"/>
          <w:sz w:val="18"/>
        </w:rPr>
        <w:t>https://pubmed.ncbi.nlm.nih.gov/42880415/</w:t>
      </w:r>
    </w:p>
    <w:p>
      <w:pPr>
        <w:pStyle w:val="Heading1"/>
      </w:pPr>
      <w:r>
        <w:t>Aufgenommen am 16.10.2026</w:t>
      </w:r>
    </w:p>
    <w:p>
      <w:pPr>
        <w:pStyle w:val="Heading2"/>
      </w:pPr>
      <w:r>
        <w:t>ESMO-Leitlinie zu Diagnostik und Behandlung von Magen- und Ösophaguskarzinom</w:t>
      </w:r>
    </w:p>
    <w:p>
      <w:r>
        <w:rPr>
          <w:i/>
          <w:color w:val="666666"/>
          <w:sz w:val="18"/>
        </w:rPr>
        <w:t>Al-Batran SE et al.  ·  Ann Oncol  ·  15.10.2026  ·  PMID 42880714</w:t>
      </w:r>
    </w:p>
    <w:p>
      <w:r>
        <w:t>Europäische Fachgesellschaft fasst aktuellen Stand zu Diagnose, Therapie und Nachsorge bei Magen- und Ösophaguskarzinom zusammen.</w:t>
      </w:r>
    </w:p>
    <w:p>
      <w:r>
        <w:rPr>
          <w:b/>
        </w:rPr>
        <w:t xml:space="preserve">Ergebnis: </w:t>
      </w:r>
      <w:r>
        <w:t>Die Leitlinie enthält aktualisierte Empfehlungen zu Staging, Chemotherapie, Radiotherapie, chirurgischen Verfahren und Überwachung, mit differenzierten Strategien je nach Tumorstadium und molekularen Merkmalen (HER2-, MSI-Status). Konkrete Behandlungspfade sind definiert.</w:t>
      </w:r>
    </w:p>
    <w:p>
      <w:r>
        <w:rPr>
          <w:b/>
          <w:sz w:val="19"/>
        </w:rPr>
        <w:t xml:space="preserve">Übertragbarkeit: </w:t>
      </w:r>
      <w:r>
        <w:rPr>
          <w:sz w:val="19"/>
        </w:rPr>
        <w:t>Deutschland: deutschsprachige Zentren unter ESMO-Mitgliedschaft, vergleichbare Leitlinienstruktur</w:t>
      </w:r>
    </w:p>
    <w:p>
      <w:r>
        <w:rPr>
          <w:color w:val="5A7D3A"/>
          <w:sz w:val="18"/>
        </w:rPr>
        <w:t>https://pubmed.ncbi.nlm.nih.gov/42880714/</w:t>
      </w:r>
    </w:p>
    <w:p>
      <w:pPr>
        <w:pStyle w:val="Heading1"/>
      </w:pPr>
      <w:r>
        <w:t>Aufgenommen am 15.10.2026</w:t>
      </w:r>
    </w:p>
    <w:p>
      <w:pPr>
        <w:pStyle w:val="Heading2"/>
      </w:pPr>
      <w:r>
        <w:t>Wiederholte Metastasen-Radiotherapie verzögert Androgen-Entzug beim Prostatakarzinom</w:t>
      </w:r>
    </w:p>
    <w:p>
      <w:r>
        <w:rPr>
          <w:i/>
          <w:color w:val="666666"/>
          <w:sz w:val="18"/>
        </w:rPr>
        <w:t>van der Walle R et al.  ·  Radiother Oncol  ·  14.10.2026  ·  PMID 42874780</w:t>
      </w:r>
    </w:p>
    <w:p>
      <w:r>
        <w:t>Multizentrische europäische Kohorte von 177 Patienten mit PSMA-PET-detektierten oligorekurrenten hormonempfindlichen Prostatakarzinomen, die ≥2 Zyklen metastasen-gerichteter Radiotherapie erhielten; Risikostratifizierung für Androgen-Deprivations-Therapie-Freiheit.</w:t>
      </w:r>
    </w:p>
    <w:p>
      <w:r>
        <w:rPr>
          <w:b/>
        </w:rPr>
        <w:t xml:space="preserve">Ergebnis: </w:t>
      </w:r>
      <w:r>
        <w:t>2-Jahres-ADT-Freiheit: 50,2% (95%-KI 41,4–58,3%). 2-Jahres-Polymetastasen-Freiheit 64,4%, Systemtherapie-Freiheit 83,5%, Gesamtüberleben 94,2%. Längeres Intervall zwischen erstem und zweitem MDRT (HR 0,96 pro Monat, p=0,003) und einzelne Läsion (vs. ≥2 Läsionen, HR 1,88, p=0,006) unabhängig mit ADT-Freiheit assoziiert. C-Index 0,68 (moderat).</w:t>
      </w:r>
    </w:p>
    <w:p>
      <w:r>
        <w:rPr>
          <w:b/>
          <w:sz w:val="19"/>
        </w:rPr>
        <w:t xml:space="preserve">Übertragbarkeit: </w:t>
      </w:r>
      <w:r>
        <w:rPr>
          <w:sz w:val="19"/>
        </w:rPr>
        <w:t>Niederlande, Polen, Österreich, Italien, Lettland; vergleichbare europäische Versorgungssysteme</w:t>
      </w:r>
    </w:p>
    <w:p>
      <w:r>
        <w:rPr>
          <w:color w:val="5A7D3A"/>
          <w:sz w:val="18"/>
        </w:rPr>
        <w:t>https://pubmed.ncbi.nlm.nih.gov/42874780/</w:t>
      </w:r>
    </w:p>
    <w:p>
      <w:pPr>
        <w:pStyle w:val="Heading2"/>
      </w:pPr>
      <w:r>
        <w:t>5-FU besser als Gemcitabin bei metastasiertem Ampullenkarzinom</w:t>
      </w:r>
    </w:p>
    <w:p>
      <w:r>
        <w:rPr>
          <w:i/>
          <w:color w:val="666666"/>
          <w:sz w:val="18"/>
        </w:rPr>
        <w:t>Vo-Quang E et al.  ·  Eur J Cancer  ·  09.10.2026  ·  PMID 42874215</w:t>
      </w:r>
    </w:p>
    <w:p>
      <w:r>
        <w:t>Real-World-Analyse von 85 französischen Patienten mit metastasierendem Ampullenkarzinom nach Resektion, die erstlinig Fluoropyrimidin- oder Gemcitabin-basierte Chemotherapie erhielten.</w:t>
      </w:r>
    </w:p>
    <w:p>
      <w:r>
        <w:rPr>
          <w:b/>
        </w:rPr>
        <w:t xml:space="preserve">Ergebnis: </w:t>
      </w:r>
      <w:r>
        <w:t>Mediane progressionsfreie Überlebenszeit (PFS) 6,7 Monate (95%-KI 4,8–8,9) unter 5-FU vs. Gemcitabin; unter 5-FU signifikant bessere PFS (Hazard Ratio 0,53, p=0,01), aber kein Unterschied beim Gesamtüberleben (medianes OS 15,6 Monate; HR 0,58 für Abwesenheit von Lebermetastasen, p=0,04). Objektive Ansprechrate ähnlich (36,2% vs. 32,0%, p=0,73).</w:t>
      </w:r>
    </w:p>
    <w:p>
      <w:r>
        <w:rPr>
          <w:b/>
          <w:sz w:val="19"/>
        </w:rPr>
        <w:t xml:space="preserve">Übertragbarkeit: </w:t>
      </w:r>
      <w:r>
        <w:rPr>
          <w:sz w:val="19"/>
        </w:rPr>
        <w:t>Frankreich, nationale prospektive FFCD-Kohorte mit vergleichbarem Gesundheitssystem</w:t>
      </w:r>
    </w:p>
    <w:p>
      <w:r>
        <w:rPr>
          <w:color w:val="5A7D3A"/>
          <w:sz w:val="18"/>
        </w:rPr>
        <w:t>https://pubmed.ncbi.nlm.nih.gov/42874215/</w:t>
      </w:r>
    </w:p>
    <w:p>
      <w:pPr>
        <w:pStyle w:val="Heading2"/>
      </w:pPr>
      <w:r>
        <w:t>Chemotherapie-freie Kombination überlegen bei Philadelphia-positiver ALL</w:t>
      </w:r>
    </w:p>
    <w:p>
      <w:r>
        <w:rPr>
          <w:i/>
          <w:color w:val="666666"/>
          <w:sz w:val="18"/>
        </w:rPr>
        <w:t>Chiaretti S et al.  ·  N Engl J Med  ·  15.10.2026  ·  PMID 42874102</w:t>
      </w:r>
    </w:p>
    <w:p>
      <w:r>
        <w:t>Randomisierte Phase-III-Studie (GIMEMA ALL2820) mit 236 Patienten mit neu diagnostizierter Philadelphia-positiver akuter lymphoblastischer Leukämie; Vergleich Ponatinib plus Blinatumomab vs. Imatinib plus Chemotherapie als Frontline-Therapie.</w:t>
      </w:r>
    </w:p>
    <w:p>
      <w:r>
        <w:rPr>
          <w:b/>
        </w:rPr>
        <w:t xml:space="preserve">Ergebnis: </w:t>
      </w:r>
      <w:r>
        <w:t>24-Monats-ereignisfreies Überleben: 86% (Ponatinib-Blinatumomab) vs. 67% (Imatinib-Chemotherapie), p&lt;0,001. Molekulare Remission nach Blinatumomab: 71% vs. 49%. Gesamtüberleben 90% vs. 85%. Nur 19% der Interventionsgruppe erhielten Stammzelltransplantation nach erster kompletter hämatologischer Remission. Kumulative Rezidivrate 5% vs. 13%.</w:t>
      </w:r>
    </w:p>
    <w:p>
      <w:r>
        <w:rPr>
          <w:b/>
          <w:sz w:val="19"/>
        </w:rPr>
        <w:t xml:space="preserve">Übertragbarkeit: </w:t>
      </w:r>
      <w:r>
        <w:rPr>
          <w:sz w:val="19"/>
        </w:rPr>
        <w:t>Italien, europäisches Zentren-Netzwerk, GIMEMA-Datenbank, GKV-System vergleichbar</w:t>
      </w:r>
    </w:p>
    <w:p>
      <w:r>
        <w:rPr>
          <w:color w:val="5A7D3A"/>
          <w:sz w:val="18"/>
        </w:rPr>
        <w:t>https://pubmed.ncbi.nlm.nih.gov/42874102/</w:t>
      </w:r>
    </w:p>
    <w:p>
      <w:pPr>
        <w:pStyle w:val="Heading2"/>
      </w:pPr>
      <w:r>
        <w:t>Platinum-Pemetrexed nach RET-Inhibitor-Versagen beim nicht-kleinzelligen Lungenkarzinom</w:t>
      </w:r>
    </w:p>
    <w:p>
      <w:r>
        <w:rPr>
          <w:i/>
          <w:color w:val="666666"/>
          <w:sz w:val="18"/>
        </w:rPr>
        <w:t>Miliziano D et al.  ·  Clin Cancer Res  ·  14.10.2026  ·  PMID 42873584</w:t>
      </w:r>
    </w:p>
    <w:p>
      <w:r>
        <w:t>Internationale Real-World-Analyse von 81 Patienten mit RET-Fusions-positivem metastasiertem NSCLC nach Progression unter erstliniger selektiver RET-Inhibitor-Therapie; zweitlinige Behandlung meist mit Platin-Pemetrexed ± Immunotherapie.</w:t>
      </w:r>
    </w:p>
    <w:p>
      <w:r>
        <w:rPr>
          <w:b/>
        </w:rPr>
        <w:t xml:space="preserve">Ergebnis: </w:t>
      </w:r>
      <w:r>
        <w:t>Zweitlinie: Objektive Ansprechrate 41% (12/29), mediane Real-World-PFS 6,1 Monate (95%-KI 4,8–11,4), medianes OS 13,7 Monate (95%-KI 8,7–26,5). Kein Unterschied zwischen Chemotherapie allein vs. Chemo-Immunotherapie (PFS 5,9 vs. 6,8 Monate, p=0,903). Drittlinie mit Taxan: mediane PFS 1,5 Monate, keine Ansprechrate.</w:t>
      </w:r>
    </w:p>
    <w:p>
      <w:r>
        <w:rPr>
          <w:b/>
          <w:sz w:val="19"/>
        </w:rPr>
        <w:t xml:space="preserve">Übertragbarkeit: </w:t>
      </w:r>
      <w:r>
        <w:rPr>
          <w:sz w:val="19"/>
        </w:rPr>
        <w:t>Internationales Konsortium, europäische Zentren vertreten, Versorgungsdaten übertragbar</w:t>
      </w:r>
    </w:p>
    <w:p>
      <w:r>
        <w:rPr>
          <w:color w:val="5A7D3A"/>
          <w:sz w:val="18"/>
        </w:rPr>
        <w:t>https://pubmed.ncbi.nlm.nih.gov/42873584/</w:t>
      </w:r>
    </w:p>
    <w:p>
      <w:pPr>
        <w:pStyle w:val="Heading2"/>
      </w:pPr>
      <w:r>
        <w:t>Reiseroute bis zur Radiotherapie belastet Lymphom-Patienten deutlich</w:t>
      </w:r>
    </w:p>
    <w:p>
      <w:r>
        <w:rPr>
          <w:i/>
          <w:color w:val="666666"/>
          <w:sz w:val="18"/>
        </w:rPr>
        <w:t>Steike DR et al.  ·  Strahlenther Onkol  ·  14.10.2026  ·  PMID 42873235</w:t>
      </w:r>
    </w:p>
    <w:p>
      <w:r>
        <w:t>Prospektive deutsche Registerstudie von 82 Patienten mit primären kutanen Lymphomen, die zur Strahlentherapie überwiesen wurden; Erfassung von Lebensqualitäts-Präferenzen, Reiseentfernung und gesundheitsbezogener Lebensqualität vor Therapiebeginn.</w:t>
      </w:r>
    </w:p>
    <w:p>
      <w:r>
        <w:rPr>
          <w:b/>
        </w:rPr>
        <w:t xml:space="preserve">Ergebnis: </w:t>
      </w:r>
      <w:r>
        <w:t>Mediane Reisedistanz für Sézary-Syndrom 201 km, Mykosis fungoides 114 km, andere kutane Lymphome 65 km. 38% der Patienten priorisierten Lebensqualität, 25% Lebensdauer, 37% bewerteten beide gleich. Älteres Alter und längere Reisedistanz waren mit Lebensqualitätspräferenz assoziiert. Höhere Beeinträchtigung der Lebensqualität bei MF und SS vs. anderen kutanen Lymphomen.</w:t>
      </w:r>
    </w:p>
    <w:p>
      <w:r>
        <w:rPr>
          <w:b/>
          <w:sz w:val="19"/>
        </w:rPr>
        <w:t xml:space="preserve">Übertragbarkeit: </w:t>
      </w:r>
      <w:r>
        <w:rPr>
          <w:sz w:val="19"/>
        </w:rPr>
        <w:t>Deutschland, Westfalen-Lippe, deutsches Gesundheitssystem, direkt übertragbar</w:t>
      </w:r>
    </w:p>
    <w:p>
      <w:r>
        <w:rPr>
          <w:color w:val="5A7D3A"/>
          <w:sz w:val="18"/>
        </w:rPr>
        <w:t>https://pubmed.ncbi.nlm.nih.gov/42873235/</w:t>
      </w:r>
    </w:p>
    <w:p>
      <w:pPr>
        <w:pStyle w:val="Heading2"/>
      </w:pPr>
      <w:r>
        <w:t>Gewichtsverlust-Episoden vorhersagbar, Prognose beeinträchtigt</w:t>
      </w:r>
    </w:p>
    <w:p>
      <w:r>
        <w:rPr>
          <w:i/>
          <w:color w:val="666666"/>
          <w:sz w:val="18"/>
        </w:rPr>
        <w:t>Castillon VJ et al.  ·  Nat Med  ·  12.10.2026  ·  PMID 42864412</w:t>
      </w:r>
    </w:p>
    <w:p>
      <w:r>
        <w:t>Gesundheitssystem-weite klinogenomische Analyse von 52.236 Krebspatienten (Memorial Sloan Kettering 2010–2024, externe Validierung Dana-Farber mit 5.785 Patienten) zur Charakterisierung von Kachexie-Episoden und ihren Assoziationen mit Tumorgenotypen, Serologie und Outcome.</w:t>
      </w:r>
    </w:p>
    <w:p>
      <w:r>
        <w:rPr>
          <w:b/>
        </w:rPr>
        <w:t xml:space="preserve">Ergebnis: </w:t>
      </w:r>
      <w:r>
        <w:t>Kachexie-Episoden clusterten bei Krankheitsprogression und waren in fast allen Tumortypen mit inferiorem Outcome assoziiert. Konsistente Serum-Signatur: niedrige Albumin/Hämoglobin, erhöhte Leberenzyme. TP53-Mutation assoziiert mit häufigeren Kachexie-Episoden. Multivariates Vorhersage-Modell für Lungen-, Kolorektal- und Prostatakarzinom entwickelt und in externer Kohorte validiert.</w:t>
      </w:r>
    </w:p>
    <w:p>
      <w:r>
        <w:rPr>
          <w:b/>
          <w:sz w:val="19"/>
        </w:rPr>
        <w:t xml:space="preserve">Übertragbarkeit: </w:t>
      </w:r>
      <w:r>
        <w:rPr>
          <w:sz w:val="19"/>
        </w:rPr>
        <w:t>USA, rutineklinische Daten, Genotypen-Verknüpfung übertragbar</w:t>
      </w:r>
    </w:p>
    <w:p>
      <w:r>
        <w:rPr>
          <w:color w:val="5A7D3A"/>
          <w:sz w:val="18"/>
        </w:rPr>
        <w:t>https://pubmed.ncbi.nlm.nih.gov/42864412/</w:t>
      </w:r>
    </w:p>
    <w:p>
      <w:pPr>
        <w:pStyle w:val="Heading1"/>
      </w:pPr>
      <w:r>
        <w:t>Aufgenommen am 14.10.2026</w:t>
      </w:r>
    </w:p>
    <w:p>
      <w:pPr>
        <w:pStyle w:val="Heading2"/>
      </w:pPr>
      <w:r>
        <w:t>Beschleunigte Hypofractionierung bei inoperablem NSCLC: Konsensus gegen überlegene Evidenz</w:t>
      </w:r>
    </w:p>
    <w:p>
      <w:r>
        <w:rPr>
          <w:i/>
          <w:color w:val="666666"/>
          <w:sz w:val="18"/>
        </w:rPr>
        <w:t>Chun SG et al.  ·  Int J Radiat Oncol Biol Phys  ·  13.10.2026  ·  PMID 42869299</w:t>
      </w:r>
    </w:p>
    <w:p>
      <w:r>
        <w:t>Ein multidisziplinäres Expertenpanel der American Radium Society entwickelte Appropriate-Use-Kriterien für beschleunigte hypofractionierte Strahlentherapie bei lokal fortgeschrittenem NSCLC ohne Chemotherapie-Eignung.</w:t>
      </w:r>
    </w:p>
    <w:p>
      <w:r>
        <w:rPr>
          <w:b/>
        </w:rPr>
        <w:t xml:space="preserve">Ergebnis: </w:t>
      </w:r>
      <w:r>
        <w:t>Das Panel befürwortete IMRT und Protonentherapie mit Dosisbeschränkungen (Lunge V20&lt;30%, Herz V40&lt;20%) bei 15-Fraktionen-Hypofractionierung, lehnte aber auf Basis von 14 klinischen Studien (davon nur eine Phase III randomisiert) die Überlegenheit gegenüber konventioneller 60-Gy-Fraktionierung ab. Consolidative, nicht concurrent Immuntherapie wird empfohlen.</w:t>
      </w:r>
    </w:p>
    <w:p>
      <w:r>
        <w:rPr>
          <w:b/>
          <w:sz w:val="19"/>
        </w:rPr>
        <w:t xml:space="preserve">Übertragbarkeit: </w:t>
      </w:r>
      <w:r>
        <w:rPr>
          <w:sz w:val="19"/>
        </w:rPr>
        <w:t>Leitlinienconsensus; deutsche Zentren folgen DEGRO-Empfehlungen mit vergleichbarem Evidenzstand</w:t>
      </w:r>
    </w:p>
    <w:p>
      <w:r>
        <w:rPr>
          <w:color w:val="5A7D3A"/>
          <w:sz w:val="18"/>
        </w:rPr>
        <w:t>https://pubmed.ncbi.nlm.nih.gov/42869299/</w:t>
      </w:r>
    </w:p>
    <w:p>
      <w:pPr>
        <w:pStyle w:val="Heading2"/>
      </w:pPr>
      <w:r>
        <w:t>Immunoscore stratifiziert HPV-assoziiertes Oropharynxkarzinom besser als TNM-Stadium</w:t>
      </w:r>
    </w:p>
    <w:p>
      <w:r>
        <w:rPr>
          <w:i/>
          <w:color w:val="666666"/>
          <w:sz w:val="18"/>
        </w:rPr>
        <w:t>Nguyen DH et al.  ·  Clin Cancer Res  ·  13.10.2026  ·  PMID 42868274</w:t>
      </w:r>
    </w:p>
    <w:p>
      <w:r>
        <w:t>Ein internationales Team validierte den Immunoscore (CD3+/CD8+-Dichten in Tumor und Invasionsrand) zur Prognosevorhersage in HPV-positivem Oropharynxkarzinom in drei Validierungskohorten mit insgesamt 191 Patienten.</w:t>
      </w:r>
    </w:p>
    <w:p>
      <w:r>
        <w:rPr>
          <w:b/>
        </w:rPr>
        <w:t xml:space="preserve">Ergebnis: </w:t>
      </w:r>
      <w:r>
        <w:t>Immunoscore-High-Patienten erreichten über alle Kohorten hinweg besseres 3-Jahres-krankheitsfreies Überleben (DFS) (log-rank p&lt;0,05). Im multivariablen Modell war Immunoscore-Low der unabhängige Prognosefaktor mit größtem adjustiertem Effekt (HR 9,03, 95%-KI 4,02–20,31, p&lt;0,001). Das kombinierte Immunoscore-klinische Modell zeigte bessere DFS-Vorhersage als klinisches Modell allein (C-Index 0,82 vs. 0,70, p&lt;0,0001).</w:t>
      </w:r>
    </w:p>
    <w:p>
      <w:r>
        <w:rPr>
          <w:b/>
          <w:sz w:val="19"/>
        </w:rPr>
        <w:t xml:space="preserve">Übertragbarkeit: </w:t>
      </w:r>
      <w:r>
        <w:rPr>
          <w:sz w:val="19"/>
        </w:rPr>
        <w:t>Europäisches Multizenterstudie, französische/UK-Daten, internationales Validierungskonzept übertragbar</w:t>
      </w:r>
    </w:p>
    <w:p>
      <w:r>
        <w:rPr>
          <w:color w:val="5A7D3A"/>
          <w:sz w:val="18"/>
        </w:rPr>
        <w:t>https://pubmed.ncbi.nlm.nih.gov/42868274/</w:t>
      </w:r>
    </w:p>
    <w:p>
      <w:pPr>
        <w:pStyle w:val="Heading2"/>
      </w:pPr>
      <w:r>
        <w:t>Übermäßige Fettgewebszunahme unter Therapie erhöht Rezidivrisiko bei Hodgkin-Lymphom bei Kindern</w:t>
      </w:r>
    </w:p>
    <w:p>
      <w:r>
        <w:rPr>
          <w:i/>
          <w:color w:val="666666"/>
          <w:sz w:val="18"/>
        </w:rPr>
        <w:t>Wadhwa A et al.  ·  J Natl Cancer Inst  ·  13.10.2026  ·  PMID 42867833</w:t>
      </w:r>
    </w:p>
    <w:p>
      <w:r>
        <w:t>Longitudinale Analyse von 951 Kindern mit intermediärem/hochrisiko Hodgkin-Lymphom aus Therapiestudien mit CT-Messung von Skelettmuskel- und Fettgewebsfläche vor/nach 2 Chemotherapie-Zyklen.</w:t>
      </w:r>
    </w:p>
    <w:p>
      <w:r>
        <w:rPr>
          <w:b/>
        </w:rPr>
        <w:t xml:space="preserve">Ergebnis: </w:t>
      </w:r>
      <w:r>
        <w:t>Übermäßige Fettgewebszunahme (beobachtet in 36,2%) war bei Patienten mit negativem PET2-Scan mit 1,73-fach erhöhter bereinigter Hazard für Relapse assoziiert (95%-KI 1,08–2,77, p=0,02), nicht jedoch bei positivem PET2 (HR 0,90, 95%-KI 0,51–1,57, p=0,70). Skelettmuskelveränderungen zeigten keine Rezidivassoziation.</w:t>
      </w:r>
    </w:p>
    <w:p>
      <w:r>
        <w:rPr>
          <w:b/>
          <w:sz w:val="19"/>
        </w:rPr>
        <w:t xml:space="preserve">Übertragbarkeit: </w:t>
      </w:r>
      <w:r>
        <w:rPr>
          <w:sz w:val="19"/>
        </w:rPr>
        <w:t>US-Kohortenstudie (SEER/COG-Daten); Kandidaten-Biomarker, Mechanismus unklar</w:t>
      </w:r>
    </w:p>
    <w:p>
      <w:r>
        <w:rPr>
          <w:color w:val="5A7D3A"/>
          <w:sz w:val="18"/>
        </w:rPr>
        <w:t>https://pubmed.ncbi.nlm.nih.gov/42867833/</w:t>
      </w:r>
    </w:p>
    <w:p>
      <w:pPr>
        <w:pStyle w:val="Heading2"/>
      </w:pPr>
      <w:r>
        <w:t>Unter-Nutzung von Knochenschutztherapie bei mCRPC trotz hoher Morbidität in Hochrisiko-Patienten</w:t>
      </w:r>
    </w:p>
    <w:p>
      <w:r>
        <w:rPr>
          <w:i/>
          <w:color w:val="666666"/>
          <w:sz w:val="18"/>
        </w:rPr>
        <w:t>van der Velden KJM et al.  ·  J Natl Cancer Inst  ·  13.10.2026  ·  PMID 42867156</w:t>
      </w:r>
    </w:p>
    <w:p>
      <w:r>
        <w:t>Vergleichende Analyse von 2.115 mCRPC-Patienten mit Knochenmetas aus Dutch CAPRI-3-Register (2016–2021) versus 1.923 aus CAPRI-2 (2010–2015), Messung von Knochenschutzmittel-Nutzung und symptomatischen skelettalen Ereignissen nach Chemotherapie-Initiierung.</w:t>
      </w:r>
    </w:p>
    <w:p>
      <w:r>
        <w:rPr>
          <w:b/>
        </w:rPr>
        <w:t xml:space="preserve">Ergebnis: </w:t>
      </w:r>
      <w:r>
        <w:t>Knochenschutzmittel-Einsatz sank von 60% auf 28%, nur 8% erhielten guideline-empfohlenes Timing (≤4 Wochen nach Therapiestart). Gesamte symptomatische skelettale Ereignis-Inzidenz nahm ab (0,26 auf 0,21 pro Patient-Jahr), aber Hochrisiko-Patienten mit frühem Knochenschutz erlebten höchste Ereignisdichte (0,29) und kürzestes ereignisfreies Überleben (8,7 vs. 14,6 Monate, p&lt;0,001).</w:t>
      </w:r>
    </w:p>
    <w:p>
      <w:r>
        <w:rPr>
          <w:b/>
          <w:sz w:val="19"/>
        </w:rPr>
        <w:t xml:space="preserve">Übertragbarkeit: </w:t>
      </w:r>
      <w:r>
        <w:rPr>
          <w:sz w:val="19"/>
        </w:rPr>
        <w:t>Niederlande, vergleichbares Versicherungssystem und Dokumentationstandards wie Deutschland</w:t>
      </w:r>
    </w:p>
    <w:p>
      <w:r>
        <w:rPr>
          <w:color w:val="5A7D3A"/>
          <w:sz w:val="18"/>
        </w:rPr>
        <w:t>https://pubmed.ncbi.nlm.nih.gov/42867156/</w:t>
      </w:r>
    </w:p>
    <w:p>
      <w:pPr>
        <w:pStyle w:val="Heading2"/>
      </w:pPr>
      <w:r>
        <w:t>Hochgradige Befolgung von Lifestyle-Leitlinien verbessert Gesundheit bei Chemotherapie-behandelten Brustkrebsüberlebenden</w:t>
      </w:r>
    </w:p>
    <w:p>
      <w:r>
        <w:rPr>
          <w:i/>
          <w:color w:val="666666"/>
          <w:sz w:val="18"/>
        </w:rPr>
        <w:t>Bodelon C et al.  ·  J Natl Cancer Inst  ·  13.10.2026  ·  PMID 42867136</w:t>
      </w:r>
    </w:p>
    <w:p>
      <w:r>
        <w:t>Prospektive Kohortenstudie mit 1.610 Brustkrebsüberlebenden und 16.100 altersgepaarten Kontrollpersonen aus der American Cancer Society Cancer Prevention Study-3, Auswertung der Assoziation zwischen Befolgung von ACS-Lifestyle-Leitlinien (Score 0–8) und Patient-Reported Outcomes Measurement Information System Global Health Scale.</w:t>
      </w:r>
    </w:p>
    <w:p>
      <w:r>
        <w:rPr>
          <w:b/>
        </w:rPr>
        <w:t xml:space="preserve">Ergebnis: </w:t>
      </w:r>
      <w:r>
        <w:t>Höhere Leitlinien-Befolgung war mit besserer physischer Gesundheit assoziiert (p&lt;0,001). Chemotherapie-behandelte Überlebende mit niedriger Befolgung zeigten schlechtere Gesundheit (&lt;3 Jahre: β=−2,67, 95%-KI −3,77 bis −1,58; ≥3 Jahre: β=−2,10, 95%-KI −3,70 bis −0,51). Mit hoher Befolgung war Gesundheit vergleichbar mit nicht-krebserkrankten Frauen oder besser (&lt;3 Jahre: β=1,09, 95%-KI 0,30–1,89; ≥3 Jahre: β=2,56, 95%-KI 1,40–3,72).</w:t>
      </w:r>
    </w:p>
    <w:p>
      <w:r>
        <w:rPr>
          <w:b/>
          <w:sz w:val="19"/>
        </w:rPr>
        <w:t xml:space="preserve">Übertragbarkeit: </w:t>
      </w:r>
      <w:r>
        <w:rPr>
          <w:sz w:val="19"/>
        </w:rPr>
        <w:t>USA-Daten; Lifestyle-Empfehlungen gelten international, Übertragbarkeit auf deutsche Nachsorge</w:t>
      </w:r>
    </w:p>
    <w:p>
      <w:r>
        <w:rPr>
          <w:color w:val="5A7D3A"/>
          <w:sz w:val="18"/>
        </w:rPr>
        <w:t>https://pubmed.ncbi.nlm.nih.gov/42867136/</w:t>
      </w:r>
    </w:p>
    <w:p>
      <w:pPr>
        <w:pStyle w:val="Heading2"/>
      </w:pPr>
      <w:r>
        <w:t>MXD4-abhängige Proliferationspause ermöglicht Hirnmetastasen-Überleben: therapeutische Angriffsfläche</w:t>
      </w:r>
    </w:p>
    <w:p>
      <w:r>
        <w:rPr>
          <w:i/>
          <w:color w:val="666666"/>
          <w:sz w:val="18"/>
        </w:rPr>
        <w:t>García-Gómez P et al.  ·  Cancer Cell  ·  12.10.2026  ·  PMID 42805170</w:t>
      </w:r>
    </w:p>
    <w:p>
      <w:r>
        <w:t>Mechanistische Studie an experimentellen Hirnmetastasen-Modellen und Patienten-Mikrometastasen zur Identifikation adaptiver Zustände metastatischer Zellen vor vaskulärer Ko-Option; genetische Disruption von MXD4 (MYC-Antagonist) und Screening nach therapeutischen Vulnerabilitäten in Organ-Kulturen.</w:t>
      </w:r>
    </w:p>
    <w:p>
      <w:r>
        <w:rPr>
          <w:b/>
        </w:rPr>
        <w:t xml:space="preserve">Ergebnis: </w:t>
      </w:r>
      <w:r>
        <w:t>MXD4-abhängige vorübergehende Proliferationspause puffert Early-Colonization-Stress ab. Genetische MXD4-Disruption beeinträchtigt Mikrometastasen-Überleben und verhindert Progression zu Makrometastasen. Vulnerabilität der Pause ist mit klinisch verfügbaren Medikamenten angreifbar; Modell validiert in Patienten-Hirnmikrometastasen.</w:t>
      </w:r>
    </w:p>
    <w:p>
      <w:r>
        <w:rPr>
          <w:b/>
          <w:sz w:val="19"/>
        </w:rPr>
        <w:t xml:space="preserve">Übertragbarkeit: </w:t>
      </w:r>
      <w:r>
        <w:rPr>
          <w:sz w:val="19"/>
        </w:rPr>
        <w:t>Multinationale Grundlagen-/Translationsforschung (Spanien, UK, USA); klinischer Modellorganismus (Patient-Kulturen)</w:t>
      </w:r>
    </w:p>
    <w:p>
      <w:r>
        <w:rPr>
          <w:color w:val="5A7D3A"/>
          <w:sz w:val="18"/>
        </w:rPr>
        <w:t>https://pubmed.ncbi.nlm.nih.gov/42805170/</w:t>
      </w:r>
    </w:p>
    <w:p>
      <w:pPr>
        <w:pStyle w:val="Heading1"/>
      </w:pPr>
      <w:r>
        <w:t>Aufgenommen am 13.10.2026</w:t>
      </w:r>
    </w:p>
    <w:p>
      <w:pPr>
        <w:pStyle w:val="Heading2"/>
      </w:pPr>
      <w:r>
        <w:t>Bluttest-Risikomodell für Lungenkrebs verbessert Früherkennung gegenüber etabliertem Standard</w:t>
      </w:r>
    </w:p>
    <w:p>
      <w:r>
        <w:rPr>
          <w:i/>
          <w:color w:val="666666"/>
          <w:sz w:val="18"/>
        </w:rPr>
        <w:t>Skov-Jeppesen SM et al.  ·  J Clin Oncol  ·  12.10.2026  ·  PMID 42863103</w:t>
      </w:r>
    </w:p>
    <w:p>
      <w:r>
        <w:t>Dänische prospektive Kohortenstudie entwickelt und validiert ein Bluttest-gestütztes Risikomodell (CPH-Lung) zur Vorhersage des 6-Jahres-Lungenkrebsrisikos bei Rauchern vor bildgebender Screening.</w:t>
      </w:r>
    </w:p>
    <w:p>
      <w:r>
        <w:rPr>
          <w:b/>
        </w:rPr>
        <w:t xml:space="preserve">Ergebnis: </w:t>
      </w:r>
      <w:r>
        <w:t>CPH-Lung erreichte im Validierungskollektiv eine AUC von 0,783 versus 0,720 für PLCOm2012 (p=0,0059). Bei gleicher Spezifität wie aktuelle Screeningkriterien (77,7%) zeigte CPH-Lung höhere Sensitivität bei Frauen (57,6% vs. 39,2%, p&lt;0,0001) und Männern (61,4% vs. 54,7%, p=0,004). Patienten, die ausschließlich durch CPH-Lung erkannt wurden, waren im Mittel jünger (68,2 vs. 76,5 Jahre, p&lt;0,0001).</w:t>
      </w:r>
    </w:p>
    <w:p>
      <w:r>
        <w:rPr>
          <w:b/>
          <w:sz w:val="19"/>
        </w:rPr>
        <w:t xml:space="preserve">Übertragbarkeit: </w:t>
      </w:r>
      <w:r>
        <w:rPr>
          <w:sz w:val="19"/>
        </w:rPr>
        <w:t>Nordische Gesundheitssysteme, Daten aus prospektiven bevölkerungsbasierten Kohorten, vergleichbar strukturiertes Screening.</w:t>
      </w:r>
    </w:p>
    <w:p>
      <w:r>
        <w:rPr>
          <w:color w:val="5A7D3A"/>
          <w:sz w:val="18"/>
        </w:rPr>
        <w:t>https://pubmed.ncbi.nlm.nih.gov/42863103/</w:t>
      </w:r>
    </w:p>
    <w:p>
      <w:pPr>
        <w:pStyle w:val="Heading2"/>
      </w:pPr>
      <w:r>
        <w:t>Konsolidative Thoraxbestrahlung nach Chemoimmuntherapie verbessert Überleben bei extensivem Kleinzellungkrebs</w:t>
      </w:r>
    </w:p>
    <w:p>
      <w:r>
        <w:rPr>
          <w:i/>
          <w:color w:val="666666"/>
          <w:sz w:val="18"/>
        </w:rPr>
        <w:t>Bai B et al.  ·  Strahlenther Onkol  ·  12.10.2026  ·  PMID 42862283</w:t>
      </w:r>
    </w:p>
    <w:p>
      <w:r>
        <w:t>Retrospektive chinesische Kohortenstudie vergleicht erste Chemoimmuntherapie allein (CT-IT) versus CT-IT plus konsolidative Thoraxbestrahlung (cTRT) bei 199 Patienten mit extensivem kleinzelligem Lungenkarzinom (ES-SCLC).</w:t>
      </w:r>
    </w:p>
    <w:p>
      <w:r>
        <w:rPr>
          <w:b/>
        </w:rPr>
        <w:t xml:space="preserve">Ergebnis: </w:t>
      </w:r>
      <w:r>
        <w:t>Mediane progressionsfreie Überlebenszeit (PFS) war signifikant länger mit CT-IT + cTRT versus CT-IT allein (p&lt;0,001). Mediales Gesamtüberleben (OS) war ebenfalls signifikant verlängert mit cTRT (p&lt;0,001). Im multivariaten Modell war cTRT unabhängig mit besserer PFS assoziiert (p&lt;0,001). Sicherheitsprofil war vergleichbar; Grad-3-4-Toxizitäten traten in beiden Gruppen ähnlich häufig auf. Grad-1-2-Dermatitis und Gastrointestinalitoxizität waren häufiger in der cTRT-Gruppe.</w:t>
      </w:r>
    </w:p>
    <w:p>
      <w:r>
        <w:rPr>
          <w:b/>
          <w:sz w:val="19"/>
        </w:rPr>
        <w:t xml:space="preserve">Übertragbarkeit: </w:t>
      </w:r>
      <w:r>
        <w:rPr>
          <w:sz w:val="19"/>
        </w:rPr>
        <w:t>China - Behandlungsalgorithmus übertragbar, aber Validierung in europäischen Real-World-Daten erforderlich vor Routineimplementierung.</w:t>
      </w:r>
    </w:p>
    <w:p>
      <w:r>
        <w:rPr>
          <w:color w:val="5A7D3A"/>
          <w:sz w:val="18"/>
        </w:rPr>
        <w:t>https://pubmed.ncbi.nlm.nih.gov/42862283/</w:t>
      </w:r>
    </w:p>
    <w:p>
      <w:pPr>
        <w:pStyle w:val="Heading2"/>
      </w:pPr>
      <w:r>
        <w:t>Kombinationstherapie mit RNA-Polymerase-I- und CDK-Inhibitor zeigt Synergie bei akuter myeloischer Leukämie</w:t>
      </w:r>
    </w:p>
    <w:p>
      <w:r>
        <w:rPr>
          <w:i/>
          <w:color w:val="666666"/>
          <w:sz w:val="18"/>
        </w:rPr>
        <w:t>Hein N et al.  ·  Leukemia  ·  08.10.2026  ·  PMID 42850350</w:t>
      </w:r>
    </w:p>
    <w:p>
      <w:r>
        <w:t>Australische präklinische und translatorische Studie identifiziert durch Hochdurchsatz-Screening Dinaciclib (CDK-Inhibitor) als Kombinationspartner zu CX-5461 (Ribosomen-Biosynthese-Inhibitor) in genetisch diversen AML-Modellen.</w:t>
      </w:r>
    </w:p>
    <w:p>
      <w:r>
        <w:rPr>
          <w:b/>
        </w:rPr>
        <w:t xml:space="preserve">Ergebnis: </w:t>
      </w:r>
      <w:r>
        <w:t>Dinaciclib wirkt synergistisch mit CX-5461 in mehreren humanen AML-Zelllinien und verbessert das Überleben in murinen AML-Modellen signifikant. Synergismus beruhte teilweise auf kombinatorischer Aktivierung des nucleolar surveillance pathway. Dinaciclib löste schnelle Apoptose aus, während CX-5461 primär Zellzyklus-Arrest verursachte; zusammen führte dies zu effizienter Tumorclearance und verzögertem Resistenzauftreten. In primären AML-Proben war Koloniebildung reduziert.</w:t>
      </w:r>
    </w:p>
    <w:p>
      <w:r>
        <w:rPr>
          <w:b/>
          <w:sz w:val="19"/>
        </w:rPr>
        <w:t xml:space="preserve">Übertragbarkeit: </w:t>
      </w:r>
      <w:r>
        <w:rPr>
          <w:sz w:val="19"/>
        </w:rPr>
        <w:t>Grundlagenevidenz, klinische Translation noch ausstehend; Mechanismus-Identifizierung liefert Rational für Phase-1-Studien.</w:t>
      </w:r>
    </w:p>
    <w:p>
      <w:r>
        <w:rPr>
          <w:color w:val="5A7D3A"/>
          <w:sz w:val="18"/>
        </w:rPr>
        <w:t>https://pubmed.ncbi.nlm.nih.gov/42850350/</w:t>
      </w:r>
    </w:p>
    <w:p>
      <w:pPr>
        <w:pStyle w:val="Heading2"/>
      </w:pPr>
      <w:r>
        <w:t>Koloskopie-Screening reduziert Darmkrebssterblichkeit nicht in nordischen Populationen</w:t>
      </w:r>
    </w:p>
    <w:p>
      <w:r>
        <w:rPr>
          <w:i/>
          <w:color w:val="666666"/>
          <w:sz w:val="18"/>
        </w:rPr>
        <w:t>Ladabaum U et al.  ·  Lancet  ·  10.10.2026  ·  PMID 42849474</w:t>
      </w:r>
    </w:p>
    <w:p>
      <w:r>
        <w:t>Große randomisierte skandinavische Studie verglich bei über 400.000 Personen Koloskopie-Screening vs. übliche Versorgung bei asymptomatischen Erwachsenen (55–64 Jahre) zur Reduktion von Darmkrebs-Sterblichkeit und Inzidenz.</w:t>
      </w:r>
    </w:p>
    <w:p>
      <w:r>
        <w:rPr>
          <w:b/>
        </w:rPr>
        <w:t xml:space="preserve">Ergebnis: </w:t>
      </w:r>
      <w:r>
        <w:t>Koloskopie reduzierte Darmkrebs-Inzidenz, führte aber nicht zu signifikanter Reduktion der Darmkrebssterblichkeit im Vergleich zu Kontrollgruppe. Die Ergebnisse werfen Fragen zu Effektivität des systematischen Screening bei mittlerem Risiko auf, insbesondere über den beobachteten Follow-up-Zeitraum.</w:t>
      </w:r>
    </w:p>
    <w:p>
      <w:r>
        <w:rPr>
          <w:b/>
          <w:sz w:val="19"/>
        </w:rPr>
        <w:t xml:space="preserve">Übertragbarkeit: </w:t>
      </w:r>
      <w:r>
        <w:rPr>
          <w:sz w:val="19"/>
        </w:rPr>
        <w:t>Deutschland und europäische Länder mit ähnlich strukturierten Gesundheitssystemen, NordICC-Daten direkt relevant für deutsches Screening-Design.</w:t>
      </w:r>
    </w:p>
    <w:p>
      <w:r>
        <w:rPr>
          <w:color w:val="5A7D3A"/>
          <w:sz w:val="18"/>
        </w:rPr>
        <w:t>https://pubmed.ncbi.nlm.nih.gov/42849474/</w:t>
      </w:r>
    </w:p>
    <w:p>
      <w:pPr>
        <w:pStyle w:val="Heading2"/>
      </w:pPr>
      <w:r>
        <w:t>Deep-Learning-Modell mit Genexpression sagt Lymphknoten-Makrometastasen in frühem Brustkrebs sicher voraus</w:t>
      </w:r>
    </w:p>
    <w:p>
      <w:r>
        <w:rPr>
          <w:i/>
          <w:color w:val="666666"/>
          <w:sz w:val="18"/>
        </w:rPr>
        <w:t>Zhang D et al.  ·  Clin Cancer Res  ·  08.10.2026  ·  PMID 42848433</w:t>
      </w:r>
    </w:p>
    <w:p>
      <w:r>
        <w:t>Schwedische prospektive Validierungsstudie entwickelt Deep-Learning-Modelle mit Genexpression und präoperativen klinischen Daten zur Vorhersage von Sentinellymphknoten-Makrometastasen (SLNM) bei 6.836 Patientinnen mit klinisch befallfreien Achselachsen.</w:t>
      </w:r>
    </w:p>
    <w:p>
      <w:r>
        <w:rPr>
          <w:b/>
        </w:rPr>
        <w:t xml:space="preserve">Ergebnis: </w:t>
      </w:r>
      <w:r>
        <w:t>Der Transformer-Ansatz zeigte überlegene Gene-Expression-Modellierung. Im unabhängigen Testset verbesserte das kombinierte Modell (präoperative Klinik + Genexpression) die SLNM-Vorhersage gegenüber nur klinischen Daten (ROC-AUC 0,693 vs. 0,596, p&lt;0,001) und identifizierte Niedrigrisiko-Patienten, die eine SLNB vermeiden könnten (Reduktionsrate 27,2% bei 92,1% Sensitivität). Bei triple-negativem Brustkrebs erreichte das Modell eine AUC von 0,734. Biopsie- und Operationspräparate zeigten substanzielle Übereinstimmung (n=116).</w:t>
      </w:r>
    </w:p>
    <w:p>
      <w:r>
        <w:rPr>
          <w:b/>
          <w:sz w:val="19"/>
        </w:rPr>
        <w:t xml:space="preserve">Übertragbarkeit: </w:t>
      </w:r>
      <w:r>
        <w:rPr>
          <w:sz w:val="19"/>
        </w:rPr>
        <w:t>Schweden, europäisches Registersystem, Datentypen sind international verfügbar.</w:t>
      </w:r>
    </w:p>
    <w:p>
      <w:r>
        <w:rPr>
          <w:color w:val="5A7D3A"/>
          <w:sz w:val="18"/>
        </w:rPr>
        <w:t>https://pubmed.ncbi.nlm.nih.gov/42848433/</w:t>
      </w:r>
    </w:p>
    <w:p>
      <w:pPr>
        <w:pStyle w:val="Heading2"/>
      </w:pPr>
      <w:r>
        <w:t>Krebserkrankungen mit unbekanntem Primärtumor werden seltener, Überleben verbessert sich langsam</w:t>
      </w:r>
    </w:p>
    <w:p>
      <w:r>
        <w:rPr>
          <w:i/>
          <w:color w:val="666666"/>
          <w:sz w:val="18"/>
        </w:rPr>
        <w:t>Zaun G et al.  ·  Dtsch Arztebl Int  ·  25.12.2026  ·  PMID 42845015</w:t>
      </w:r>
    </w:p>
    <w:p>
      <w:r>
        <w:t>Deutsche Bevölkerungsstudie aus dem Krebsregister Nordrhein-Westfalen analysiert Inzidenz- und Überlebenstrends bei Krebserkrankungen unbekannten Primärtumors (CUP) über 17 Jahre anhand von 21.085 validierten Fällen.</w:t>
      </w:r>
    </w:p>
    <w:p>
      <w:r>
        <w:rPr>
          <w:b/>
        </w:rPr>
        <w:t xml:space="preserve">Ergebnis: </w:t>
      </w:r>
      <w:r>
        <w:t>Altersstandardisierte Inzidenz fiel markant von 6,5 pro 100.000 Personenjahre (2007) auf 2,2 pro 100.000 Personenjahre (2023) (durchschnittliche jährliche Änderung -5,45%, 95%-KI [-6,49; -4,40]). Fünf-Jahres-Überleben stieg von 14,7% auf 21,8%. Plattenepithelkarzinome zeigten höchstes Überleben (42,8%), Adenokarzinome und undifferenzierte Karzinome niedrigstes (14–15%). Älteren Patienten hatten niedrigeres Überleben.</w:t>
      </w:r>
    </w:p>
    <w:p>
      <w:r>
        <w:rPr>
          <w:b/>
          <w:sz w:val="19"/>
        </w:rPr>
        <w:t xml:space="preserve">Übertragbarkeit: </w:t>
      </w:r>
      <w:r>
        <w:rPr>
          <w:sz w:val="19"/>
        </w:rPr>
        <w:t>Deutsche Daten aus bevölkerungsbasiertem Krebsregister, direkt auf deutsches Gesundheitswesen übertragbar.</w:t>
      </w:r>
    </w:p>
    <w:p>
      <w:r>
        <w:rPr>
          <w:color w:val="5A7D3A"/>
          <w:sz w:val="18"/>
        </w:rPr>
        <w:t>https://pubmed.ncbi.nlm.nih.gov/42845015/</w:t>
      </w:r>
    </w:p>
    <w:p>
      <w:pPr>
        <w:pStyle w:val="Heading1"/>
      </w:pPr>
      <w:r>
        <w:t>Aufgenommen am 12.10.2026</w:t>
      </w:r>
    </w:p>
    <w:p>
      <w:pPr>
        <w:pStyle w:val="Heading2"/>
      </w:pPr>
      <w:r>
        <w:t>Regelmäßige Nachsorge verbessert Overall Survival bei Nasopharynxkarzinom</w:t>
      </w:r>
    </w:p>
    <w:p>
      <w:r>
        <w:rPr>
          <w:i/>
          <w:color w:val="666666"/>
          <w:sz w:val="18"/>
        </w:rPr>
        <w:t>Wu CF et al.  ·  Radiother Oncol  ·  10.10.2026  ·  PMID 42858857</w:t>
      </w:r>
    </w:p>
    <w:p>
      <w:r>
        <w:t>Retrospektive Analyse von 8.798 Patienten mit nicht-metastasiertem Nasopharynxkarzinom zur Frage, ob intensivierte posttherapeutische Überwachung frühere Rezidiverkennung und besseres Überleben ermöglicht.</w:t>
      </w:r>
    </w:p>
    <w:p>
      <w:r>
        <w:rPr>
          <w:b/>
        </w:rPr>
        <w:t xml:space="preserve">Ergebnis: </w:t>
      </w:r>
      <w:r>
        <w:t>Mit ≥4 Arztbesuchen im 1. Jahr (regelmäßige Surveillance, n=4.078) gegenüber &lt;4 Besuchen (irregulär, n=4.720): medianes rezidivfreies Überleben 26,1 vs. 27,0 Monate, verbessertes Gesamtüberleben (HR 0,86; 95% KI 0,74–0,99; p=0,032). Regelmäßige Fernbildgebung senkte Mortalität (HR 0,69; 95% KI 0,57–0,82; p&lt;0,001); lokale und regionale Bildgebung nicht signifikant.</w:t>
      </w:r>
    </w:p>
    <w:p>
      <w:r>
        <w:rPr>
          <w:b/>
          <w:sz w:val="19"/>
        </w:rPr>
        <w:t xml:space="preserve">Übertragbarkeit: </w:t>
      </w:r>
      <w:r>
        <w:rPr>
          <w:sz w:val="19"/>
        </w:rPr>
        <w:t>China – hochvolumiges Zentrum; Methodik auf deutsche Strukturen übertragbar</w:t>
      </w:r>
    </w:p>
    <w:p>
      <w:r>
        <w:rPr>
          <w:color w:val="5A7D3A"/>
          <w:sz w:val="18"/>
        </w:rPr>
        <w:t>https://pubmed.ncbi.nlm.nih.gov/42858857/</w:t>
      </w:r>
    </w:p>
    <w:p>
      <w:pPr>
        <w:pStyle w:val="Heading2"/>
      </w:pPr>
      <w:r>
        <w:t>Machine-Learning-Methoden für fehlende Toxizitätsdaten bei Kopf-Hals-Krebspatienten</w:t>
      </w:r>
    </w:p>
    <w:p>
      <w:r>
        <w:rPr>
          <w:i/>
          <w:color w:val="666666"/>
          <w:sz w:val="18"/>
        </w:rPr>
        <w:t>van der Hoek L et al.  ·  Radiother Oncol  ·  10.10.2026  ·  PMID 42858855</w:t>
      </w:r>
    </w:p>
    <w:p>
      <w:r>
        <w:t>Niederländische Studie zur Bewertung von neun Imputationsmethoden (von einfach bis Deep Learning) für fehlende Werte in longitudinalen Toxizitätsdaten von 1.442 Patienten mit Kopf-Hals-Krebs unter Radiotherapie.</w:t>
      </w:r>
    </w:p>
    <w:p>
      <w:r>
        <w:rPr>
          <w:b/>
        </w:rPr>
        <w:t xml:space="preserve">Ergebnis: </w:t>
      </w:r>
      <w:r>
        <w:t>Einfache Imputationsmethoden schnitten deutlich schlechter ab als fortgeschrittene; Qualität verschlechterte sich, wenn Patienten &lt;50% der Messzeitpunkte hatten; Transformer-Modelle waren robuster gegen Rauschen; downstream Modelle zeigten vernachlässigbare Unterschiede außer bei einfachen Methoden. Praktische Empfehlung: einfache Imputationen vermeiden und Inklusions- sowie Verfügbarkeitskriterien bewusst wählen.</w:t>
      </w:r>
    </w:p>
    <w:p>
      <w:r>
        <w:rPr>
          <w:b/>
          <w:sz w:val="19"/>
        </w:rPr>
        <w:t xml:space="preserve">Übertragbarkeit: </w:t>
      </w:r>
      <w:r>
        <w:rPr>
          <w:sz w:val="19"/>
        </w:rPr>
        <w:t>Niederlande, deutschsprachige Methodik, europäische Dokumentationspflichten übertragbar</w:t>
      </w:r>
    </w:p>
    <w:p>
      <w:r>
        <w:rPr>
          <w:color w:val="5A7D3A"/>
          <w:sz w:val="18"/>
        </w:rPr>
        <w:t>https://pubmed.ncbi.nlm.nih.gov/42858855/</w:t>
      </w:r>
    </w:p>
    <w:p>
      <w:pPr>
        <w:pStyle w:val="Heading2"/>
      </w:pPr>
      <w:r>
        <w:t>Klinisch bedeutsame Schwellenwerte für Lebensqualitätsfragebogen bei Prostatakrebspatienten</w:t>
      </w:r>
    </w:p>
    <w:p>
      <w:r>
        <w:rPr>
          <w:i/>
          <w:color w:val="666666"/>
          <w:sz w:val="18"/>
        </w:rPr>
        <w:t>Vorbach SM et al.  ·  Radiother Oncol  ·  10.10.2026  ·  PMID 42858854</w:t>
      </w:r>
    </w:p>
    <w:p>
      <w:r>
        <w:t>Europäische Multicenterstudie zur Etablierung von Klinisch Bedeutsamen Schwellenwerten (Thresholds for Clinical Importance, TCI) für den EORTC QLQ-PR25, ein Lebensqualitätsinstrument bei Prostatakrebspatienten.</w:t>
      </w:r>
    </w:p>
    <w:p>
      <w:r>
        <w:rPr>
          <w:b/>
        </w:rPr>
        <w:t xml:space="preserve">Ergebnis: </w:t>
      </w:r>
      <w:r>
        <w:t>Für fünf der sechs Skalen ließen sich akzeptable bis exzellente ROC-Werte (AUC 0,74–0,90) mit Sensitivität 0,62–0,88 und Spezifität 0,48–0,98 etablieren; für die Sexualfunktion (AUC 0,48) gelang dies nicht. Die TCIs ermöglichen erstmals die klinische Interpretation einzelner Patientenergebnisse für Symptom-Screening und Entscheidungsfindung.</w:t>
      </w:r>
    </w:p>
    <w:p>
      <w:r>
        <w:rPr>
          <w:b/>
          <w:sz w:val="19"/>
        </w:rPr>
        <w:t xml:space="preserve">Übertragbarkeit: </w:t>
      </w:r>
      <w:r>
        <w:rPr>
          <w:sz w:val="19"/>
        </w:rPr>
        <w:t>Österreich, Niederlande, Spanien, Belgien, Deutschland – vergleichbare Gesundheitssysteme, europäische Fachdaten</w:t>
      </w:r>
    </w:p>
    <w:p>
      <w:r>
        <w:rPr>
          <w:color w:val="5A7D3A"/>
          <w:sz w:val="18"/>
        </w:rPr>
        <w:t>https://pubmed.ncbi.nlm.nih.gov/42858854/</w:t>
      </w:r>
    </w:p>
    <w:p>
      <w:pPr>
        <w:pStyle w:val="Heading2"/>
      </w:pPr>
      <w:r>
        <w:t>FRα-gezieltes Antikörper-Wirkstoff-Konjugat Sofetabart zeigt Aktivität bei fortgeschrittenem Ovarialkarzinom</w:t>
      </w:r>
    </w:p>
    <w:p>
      <w:r>
        <w:rPr>
          <w:i/>
          <w:color w:val="666666"/>
          <w:sz w:val="18"/>
        </w:rPr>
        <w:t>Ray-Coquard I et al.  ·  Ann Oncol  ·  08.10.2026  ·  PMID 42849725</w:t>
      </w:r>
    </w:p>
    <w:p>
      <w:r>
        <w:t>Multizentrische First-in-Human Phase-1-Studie mit 105 Patienten (überwiegend platinresistent) zu Sofetabart mipitecan (Sofe-M), einem neuen FRα-Antibody-Drug-Conjugate ohne Keratopathie-Risiko.</w:t>
      </w:r>
    </w:p>
    <w:p>
      <w:r>
        <w:rPr>
          <w:b/>
        </w:rPr>
        <w:t xml:space="preserve">Ergebnis: </w:t>
      </w:r>
      <w:r>
        <w:t>Objektive Ansprechrate 50,5% (95% KI 40,5–60,4), bei 3 mg/kg 58,8%; bei FRα &lt;75% 44,4%, bei FRα ≥75% 56,5%, nach vorherigem Mirvetuximab 57,9%; medianes progressionsfreies Überleben 8,1 Monate (95% KI 6,4–8,5). Häufigste Nebenwirkungen: Übelkeit (64,8%), Fatigue (56,2%), Anämie (47,6%). Keine Keratopathien oder Grad-≥3-Neuropathie; 35,3–56,4% Grad-≥3-Nebenwirkungen je Dosis; Behandlungsabbruch 10,5%.</w:t>
      </w:r>
    </w:p>
    <w:p>
      <w:r>
        <w:rPr>
          <w:b/>
          <w:sz w:val="19"/>
        </w:rPr>
        <w:t xml:space="preserve">Übertragbarkeit: </w:t>
      </w:r>
      <w:r>
        <w:rPr>
          <w:sz w:val="19"/>
        </w:rPr>
        <w:t>USA-Studie mit europäischen Zentren (Frankreich, Spanien, Italien); Übertragbarkeit auf AMNOG-Zulassungsprozess prüfbar</w:t>
      </w:r>
    </w:p>
    <w:p>
      <w:r>
        <w:rPr>
          <w:color w:val="5A7D3A"/>
          <w:sz w:val="18"/>
        </w:rPr>
        <w:t>https://pubmed.ncbi.nlm.nih.gov/42849725/</w:t>
      </w:r>
    </w:p>
    <w:p>
      <w:pPr>
        <w:pStyle w:val="Heading2"/>
      </w:pPr>
      <w:r>
        <w:t>Transfer-RNA-Dosierung kontrolliert Lineageplastizität und Therapieresistenz bei Prostatakarzinom</w:t>
      </w:r>
    </w:p>
    <w:p>
      <w:r>
        <w:rPr>
          <w:i/>
          <w:color w:val="666666"/>
          <w:sz w:val="18"/>
        </w:rPr>
        <w:t>Kim YS et al.  ·  Nature  ·  07.10.2026  ·  PMID 42844465</w:t>
      </w:r>
    </w:p>
    <w:p>
      <w:r>
        <w:t>Grundlagenarbeit zur Identifikation von tRNA1Arg(UCU) als Regulator der Lineageplastizität und Therapieresistenz im Prostatakarzinom mit Weg in die Klinik über Linearität und Androgenrezeptor-Sensitivität.</w:t>
      </w:r>
    </w:p>
    <w:p>
      <w:r>
        <w:rPr>
          <w:b/>
        </w:rPr>
        <w:t xml:space="preserve">Ergebnis: </w:t>
      </w:r>
      <w:r>
        <w:t>tRNA1Arg(UCU) ist herunterreguliert in neuroendokrinem Prostatakarzinom und assoziiert mit beschleunigter Metastasierung und schlechterer Prognose; Regulatoren TARDBP und ZSCAN29 kontrollieren tRNA-Expression; tRNA steuert Translationsprogramm mit SWI/SNF-Chromatin-Umbauerproteinen, die Lineage-Treue wahren; experimentelle Manipulation von tRNA1Arg(UCU) restauriert Androgenrezeptor-Sensitivität.</w:t>
      </w:r>
    </w:p>
    <w:p>
      <w:r>
        <w:rPr>
          <w:b/>
          <w:sz w:val="19"/>
        </w:rPr>
        <w:t xml:space="preserve">Übertragbarkeit: </w:t>
      </w:r>
      <w:r>
        <w:rPr>
          <w:sz w:val="19"/>
        </w:rPr>
        <w:t>USA-Grundlagenarbeit mit translationalem Ansatz zur Überwindung Androgenrezeptor-Inhibitor-Resistenz</w:t>
      </w:r>
    </w:p>
    <w:p>
      <w:r>
        <w:rPr>
          <w:color w:val="5A7D3A"/>
          <w:sz w:val="18"/>
        </w:rPr>
        <w:t>https://pubmed.ncbi.nlm.nih.gov/42844465/</w:t>
      </w:r>
    </w:p>
    <w:p>
      <w:pPr>
        <w:pStyle w:val="Heading2"/>
      </w:pPr>
      <w:r>
        <w:t>Globale Ungleichheit in Verfügbarkeit und Kostenübernahme von Nierenzellkarzinom-Therapien</w:t>
      </w:r>
    </w:p>
    <w:p>
      <w:r>
        <w:rPr>
          <w:i/>
          <w:color w:val="666666"/>
          <w:sz w:val="18"/>
        </w:rPr>
        <w:t>Urun Y et al.  ·  Oncologist  ·  06.10.2026  ·  PMID 42836687</w:t>
      </w:r>
    </w:p>
    <w:p>
      <w:r>
        <w:t>Internationale Querschnittsstudie von 144 Klinikern aus 58 Ländern zur Verfügbarkeit und Erstattung von 20 innovativen systemischen Therapien für Nierenzellkarzinom.</w:t>
      </w:r>
    </w:p>
    <w:p>
      <w:r>
        <w:rPr>
          <w:b/>
        </w:rPr>
        <w:t xml:space="preserve">Ergebnis: </w:t>
      </w:r>
      <w:r>
        <w:t>Nur 36% der Länder hatten mindestens 15 der 20 Therapien verfügbar; vollständige Erstattung für ≥15 Therapien in nur 6 Ländern (10%), für 1–9 Therapien in 13 Ländern (23%), keine Erstattung in 18 Ländern (31%). Höheres Nationaleinkommen korrelierte signifikant mit besserer Verfügbarkeit (Kruskal-Wallis p&lt;0,0001); Armenien, Griechenland und Israel zeigten höchste GDP-bereinigte Drug-Availability-Indizes.</w:t>
      </w:r>
    </w:p>
    <w:p>
      <w:r>
        <w:rPr>
          <w:b/>
          <w:sz w:val="19"/>
        </w:rPr>
        <w:t xml:space="preserve">Übertragbarkeit: </w:t>
      </w:r>
      <w:r>
        <w:rPr>
          <w:sz w:val="19"/>
        </w:rPr>
        <w:t>58 Länder weltweit; Transfer: Deutschland als mittleres Einkommsland mit hoher Verfügbarkeit</w:t>
      </w:r>
    </w:p>
    <w:p>
      <w:r>
        <w:rPr>
          <w:color w:val="5A7D3A"/>
          <w:sz w:val="18"/>
        </w:rPr>
        <w:t>https://pubmed.ncbi.nlm.nih.gov/42836687/</w:t>
      </w:r>
    </w:p>
    <w:p>
      <w:pPr>
        <w:pStyle w:val="Heading2"/>
      </w:pPr>
      <w:r>
        <w:t>Spätfolgen innovativer Kinderkrebs-Therapien: Übersicht für Langzeit-Follow-up</w:t>
      </w:r>
    </w:p>
    <w:p>
      <w:r>
        <w:rPr>
          <w:i/>
          <w:color w:val="666666"/>
          <w:sz w:val="18"/>
        </w:rPr>
        <w:t>Berkman AM et al.  ·  J Natl Cancer Inst  ·  06.10.2026  ·  PMID 42836651</w:t>
      </w:r>
    </w:p>
    <w:p>
      <w:r>
        <w:t>Narrativ-systematische Übersichtsarbeit zur erwarteten Langzeittoxizität neuer Wirkstoffe (Antikörper, ADC, Immune Checkpoint Inhibitor, CAR-T, targeted therapies) bei Kindern mit Krebs, um Langzeitüberwachung zu informieren.</w:t>
      </w:r>
    </w:p>
    <w:p>
      <w:r>
        <w:rPr>
          <w:b/>
        </w:rPr>
        <w:t xml:space="preserve">Ergebnis: </w:t>
      </w:r>
      <w:r>
        <w:t>Detaillierte Analyse von kardiovaskulären, neurologischen, endokrinen, gastrointestinalen und immunologischen Spätfolgen innovativer Therapien basierend auf Akuttoxizitätsprofilen, limitierten pädiatrischen Verlaufsdaten und emerging adult data. Kernaussage: Systematische Charakterisierung der Langzeittoxizität ist dringend erforderlich; etablierte Survivorship-Kohorten müssen erweitert und neue Nachweismethoden für bisher unerkannte Folgen entwickelt werden.</w:t>
      </w:r>
    </w:p>
    <w:p>
      <w:r>
        <w:rPr>
          <w:b/>
          <w:sz w:val="19"/>
        </w:rPr>
        <w:t xml:space="preserve">Übertragbarkeit: </w:t>
      </w:r>
      <w:r>
        <w:rPr>
          <w:sz w:val="19"/>
        </w:rPr>
        <w:t>USA-Fachstandard, methodisch auf deutsche Leitlinien (DKG) übertragbar</w:t>
      </w:r>
    </w:p>
    <w:p>
      <w:r>
        <w:rPr>
          <w:color w:val="5A7D3A"/>
          <w:sz w:val="18"/>
        </w:rPr>
        <w:t>https://pubmed.ncbi.nlm.nih.gov/42836651/</w:t>
      </w:r>
    </w:p>
    <w:p>
      <w:pPr>
        <w:pStyle w:val="Heading1"/>
      </w:pPr>
      <w:r>
        <w:t>Aufgenommen am 11.10.2026</w:t>
      </w:r>
    </w:p>
    <w:p>
      <w:pPr>
        <w:pStyle w:val="Heading2"/>
      </w:pPr>
      <w:r>
        <w:t>MRD-Negativität bei 0,01 % korreliert mit Overall Survival in akuter myeloischer Leukämie</w:t>
      </w:r>
    </w:p>
    <w:p>
      <w:r>
        <w:rPr>
          <w:i/>
          <w:color w:val="666666"/>
          <w:sz w:val="18"/>
        </w:rPr>
        <w:t>Paiva B et al.  ·  Leukemia  ·  08.10.2026  ·  PMID 42850349</w:t>
      </w:r>
    </w:p>
    <w:p>
      <w:r>
        <w:t>Die PETHEMA-Studie untersuchte an 2.623 AML-Patienten, ob Measurable Residual Disease (MRD) mittels Durchflusszytometrie ein prognostischer Marker für das Gesamtüberleben nach intensiver Therapie ist.</w:t>
      </w:r>
    </w:p>
    <w:p>
      <w:r>
        <w:rPr>
          <w:b/>
        </w:rPr>
        <w:t xml:space="preserve">Ergebnis: </w:t>
      </w:r>
      <w:r>
        <w:t>MRD-Negativität bei der 0,01%-Schwelle zeigte unabhängigen prognostischen Wert (globale Odds Ratio 1,23; 95%-KI 1,02–1,40; p &lt; 0,05). MRD-Nachweis bei ≥0,01–&lt;0,1 % assoziiert mit schlechterem Überleben. 68 % der CR-Patienten hatten MRD-Nachweis. Signifikanz variierte nach genetischem Risiko und Erhaltungstherapie.</w:t>
      </w:r>
    </w:p>
    <w:p>
      <w:r>
        <w:rPr>
          <w:b/>
          <w:sz w:val="19"/>
        </w:rPr>
        <w:t xml:space="preserve">Übertragbarkeit: </w:t>
      </w:r>
      <w:r>
        <w:rPr>
          <w:sz w:val="19"/>
        </w:rPr>
        <w:t>Spanische und portugiesische Kohorten, europäische Versorgungsstruktur, direkt auf deutsches Krebsregister-Setting übertragbar.</w:t>
      </w:r>
    </w:p>
    <w:p>
      <w:r>
        <w:rPr>
          <w:color w:val="5A7D3A"/>
          <w:sz w:val="18"/>
        </w:rPr>
        <w:t>https://pubmed.ncbi.nlm.nih.gov/42850349/</w:t>
      </w:r>
    </w:p>
    <w:p>
      <w:pPr>
        <w:pStyle w:val="Heading2"/>
      </w:pPr>
      <w:r>
        <w:t>Koloskopie-Screening reduziert kolorektales Krebssterben um 31 Prozent</w:t>
      </w:r>
    </w:p>
    <w:p>
      <w:r>
        <w:rPr>
          <w:i/>
          <w:color w:val="666666"/>
          <w:sz w:val="18"/>
        </w:rPr>
        <w:t>Brenner H et al.  ·  Lancet  ·  10.10.2026  ·  PMID 42849472</w:t>
      </w:r>
    </w:p>
    <w:p>
      <w:r>
        <w:t>Die NordICC-Studie untersuchte, ob gelegentliche Screening-Koloskopie bei Erwachsenen ab 55/60 Jahren die Sterblichkeit durch kolorektales Karzinom senkt.</w:t>
      </w:r>
    </w:p>
    <w:p>
      <w:r>
        <w:rPr>
          <w:b/>
        </w:rPr>
        <w:t xml:space="preserve">Ergebnis: </w:t>
      </w:r>
      <w:r>
        <w:t>Die Koloskopie reduzierte die krebsspezifische Mortalität um 31 % über 10 Jahre (relatives Risiko 0,69; 95%-KI 0,55–0,87). Die Zahl der Todesfälle pro 1.000 Screenings betrug 0,28. Incidenz sank um 21 %. Nebenwirkungen: schwerwiegende Blutungen &lt;0,1 %, Perforationen 0,7 pro 1.000.</w:t>
      </w:r>
    </w:p>
    <w:p>
      <w:r>
        <w:rPr>
          <w:b/>
          <w:sz w:val="19"/>
        </w:rPr>
        <w:t xml:space="preserve">Übertragbarkeit: </w:t>
      </w:r>
      <w:r>
        <w:rPr>
          <w:sz w:val="19"/>
        </w:rPr>
        <w:t>Europäischer Verbund (Skandinavien, Polen, Deutschland), publische Gesundheitssysteme mit ähnlicher Finanzierung wie Deutschland.</w:t>
      </w:r>
    </w:p>
    <w:p>
      <w:r>
        <w:rPr>
          <w:color w:val="5A7D3A"/>
          <w:sz w:val="18"/>
        </w:rPr>
        <w:t>https://pubmed.ncbi.nlm.nih.gov/42849472/</w:t>
      </w:r>
    </w:p>
    <w:p>
      <w:pPr>
        <w:pStyle w:val="Heading2"/>
      </w:pPr>
      <w:r>
        <w:t>BRCA2-Alteration vorhersagend für 12-Monate-Benefit unter PARP-Inhibitor Talazoparib</w:t>
      </w:r>
    </w:p>
    <w:p>
      <w:r>
        <w:rPr>
          <w:i/>
          <w:color w:val="666666"/>
          <w:sz w:val="18"/>
        </w:rPr>
        <w:t>Castro E et al.  ·  Eur J Cancer  ·  29.09.2026  ·  PMID 42849324</w:t>
      </w:r>
    </w:p>
    <w:p>
      <w:r>
        <w:t>Retrospektive Genomanalyse aus der Phase-2-Studie TALAPRO-1 zu Talazoparib-Monotherapie in 104 Patienten mit metastasiertem kastrationsresistentem Prostatakarzinom und HRR-Genalterationen.</w:t>
      </w:r>
    </w:p>
    <w:p>
      <w:r>
        <w:rPr>
          <w:b/>
        </w:rPr>
        <w:t xml:space="preserve">Ergebnis: </w:t>
      </w:r>
      <w:r>
        <w:t>94 % der Patienten mit radiographischem PFS ≥12 Monaten hatten BRCA2-Alterationen, vs. 22 % mit PFS &lt;2 Monaten (p &lt;0,00001). HRR-Gen-Reversionen (n=7) und PARP1-Varianten (n=5) zeigten emergente Resistenzmechanismen; beide prädiktiv für Therapieversagen nach initialem Ansprechen.</w:t>
      </w:r>
    </w:p>
    <w:p>
      <w:r>
        <w:rPr>
          <w:b/>
          <w:sz w:val="19"/>
        </w:rPr>
        <w:t xml:space="preserve">Übertragbarkeit: </w:t>
      </w:r>
      <w:r>
        <w:rPr>
          <w:sz w:val="19"/>
        </w:rPr>
        <w:t>US-amerikanische Studie, aber Genomik und BRCA2-Mutationen tumorunabhängig; Biomarker-Strategie auf deutsche Praxen übertragbar.</w:t>
      </w:r>
    </w:p>
    <w:p>
      <w:r>
        <w:rPr>
          <w:color w:val="5A7D3A"/>
          <w:sz w:val="18"/>
        </w:rPr>
        <w:t>https://pubmed.ncbi.nlm.nih.gov/42849324/</w:t>
      </w:r>
    </w:p>
    <w:p>
      <w:pPr>
        <w:pStyle w:val="Heading2"/>
      </w:pPr>
      <w:r>
        <w:t>Disitamab vedotin plus Tislelizumab: 73 % komplette Response bei nicht-resektablem high-grade Harnblasenkarzinom</w:t>
      </w:r>
    </w:p>
    <w:p>
      <w:r>
        <w:rPr>
          <w:i/>
          <w:color w:val="666666"/>
          <w:sz w:val="18"/>
        </w:rPr>
        <w:t>Qie Y et al.  ·  JAMA Oncol  ·  08.10.2026  ·  PMID 42848391</w:t>
      </w:r>
    </w:p>
    <w:p>
      <w:r>
        <w:t>Phase-2-Studie mit 28 Patienten zu resektionsunfähigem ERBB2-positiven high-risk nicht-Muskel-invasivem Blasenkarzinom unter Kombinationstherapie mit dem Antikörper-Wirkstoff-Konjugat Disitamab vedotin und dem PD-1-Inhibitor Tislelizumab.</w:t>
      </w:r>
    </w:p>
    <w:p>
      <w:r>
        <w:rPr>
          <w:b/>
        </w:rPr>
        <w:t xml:space="preserve">Ergebnis: </w:t>
      </w:r>
      <w:r>
        <w:t>Komplette Response der high-risk-Erkrankung in 19/26 Patienten (73,1 %; 95%-KI 54,8–91,3 %), über Zielrate von 70 % hinaus. 24-Monate-Ansprechen-Dauerhaftigkeit 83,5 %; kein Übergang zu invasivem Karzinom oder Metastasierung. Therapiebedingte Nebenwirkungen bei 89 %, davon nur 14 % Grad 3–4; 2 Patienten Abbruch.</w:t>
      </w:r>
    </w:p>
    <w:p>
      <w:r>
        <w:rPr>
          <w:b/>
          <w:sz w:val="19"/>
        </w:rPr>
        <w:t xml:space="preserve">Übertragbarkeit: </w:t>
      </w:r>
      <w:r>
        <w:rPr>
          <w:sz w:val="19"/>
        </w:rPr>
        <w:t>Chinesische Kliniken, aber ERBB2-Screening und -Klassifizierung international standardisiert; Ergebnis relevant für deutsche Zentren mit Blasen-Expertise.</w:t>
      </w:r>
    </w:p>
    <w:p>
      <w:r>
        <w:rPr>
          <w:color w:val="5A7D3A"/>
          <w:sz w:val="18"/>
        </w:rPr>
        <w:t>https://pubmed.ncbi.nlm.nih.gov/42848391/</w:t>
      </w:r>
    </w:p>
    <w:p>
      <w:pPr>
        <w:pStyle w:val="Heading2"/>
      </w:pPr>
      <w:r>
        <w:t>Universelle Keimbahntest-Screening: 18,4 % Pathogene Varianten in früh-onset Karzinomen, altersbasierte Limits übersehen 72 % aller Träger</w:t>
      </w:r>
    </w:p>
    <w:p>
      <w:r>
        <w:rPr>
          <w:i/>
          <w:color w:val="666666"/>
          <w:sz w:val="18"/>
        </w:rPr>
        <w:t>Stadler ZK et al.  ·  Cancer Discov  ·  08.10.2026  ·  PMID 42844684</w:t>
      </w:r>
    </w:p>
    <w:p>
      <w:r>
        <w:t>Keimbahnsequenzierung von 39.184 Patienten mit soliden Malignomen über 32 Tumortypen hinweg; Vergleich der Pathogenen-Variantenprävalenz nach Alter bei Diagnose.</w:t>
      </w:r>
    </w:p>
    <w:p>
      <w:r>
        <w:rPr>
          <w:b/>
        </w:rPr>
        <w:t xml:space="preserve">Ergebnis: </w:t>
      </w:r>
      <w:r>
        <w:t>Pathogene Varianten in 18,4 % der früh-onset, 15,6 % der durchschnittlich-onset und 12,3 % der spät-onset Fälle (p &lt;0,001). High-/Moderate-Penetranz-Gene: 12,4 % vs. 8,9 % vs. 5,1 %. Altersgrenze 50 Jahre übersieht 4.601 Träger (72 % aller detektierten Varianten). Universelles Screening empfohlen.</w:t>
      </w:r>
    </w:p>
    <w:p>
      <w:r>
        <w:rPr>
          <w:b/>
          <w:sz w:val="19"/>
        </w:rPr>
        <w:t xml:space="preserve">Übertragbarkeit: </w:t>
      </w:r>
      <w:r>
        <w:rPr>
          <w:sz w:val="19"/>
        </w:rPr>
        <w:t>USA-Studie, aber Genetik und Mutationsspektrum tumorunabhängig; Screening-Empfehlung relevant für deutsche AMNOG- und Leitlinien-Adaptationen.</w:t>
      </w:r>
    </w:p>
    <w:p>
      <w:r>
        <w:rPr>
          <w:color w:val="5A7D3A"/>
          <w:sz w:val="18"/>
        </w:rPr>
        <w:t>https://pubmed.ncbi.nlm.nih.gov/42844684/</w:t>
      </w:r>
    </w:p>
    <w:p>
      <w:pPr>
        <w:pStyle w:val="Heading2"/>
      </w:pPr>
      <w:r>
        <w:t>Venetoclax-basierte Therapie versus HMA-Monotherapie: OS-Vorteil 11,4 vs. 8,2 Monate bei unfittem neudiagnostiziertem AML</w:t>
      </w:r>
    </w:p>
    <w:p>
      <w:r>
        <w:rPr>
          <w:i/>
          <w:color w:val="666666"/>
          <w:sz w:val="18"/>
        </w:rPr>
        <w:t>Aspas Requena G et al.  ·  Leukemia  ·  06.10.2026  ·  PMID 42839073</w:t>
      </w:r>
    </w:p>
    <w:p>
      <w:r>
        <w:t>Real-World-Vergleich von 929 Patienten unter Venetoclax-Kombination mit 1.681 unter Hypomethylierungsmitteln allein aus der spanischen PETHEMA-Registry; mediane Nachverfolgung im Routinebetrieb.</w:t>
      </w:r>
    </w:p>
    <w:p>
      <w:r>
        <w:rPr>
          <w:b/>
        </w:rPr>
        <w:t xml:space="preserve">Ergebnis: </w:t>
      </w:r>
      <w:r>
        <w:t>Medianes Gesamtüberleben unter Venetoclax 11,4 Monate vs. 8,2 Monate (HR 0,66; 95%-KI 0,60–0,73; p &lt;0,001); konsistent mit VIALE-A-Trial (HR 0,66). Composite Complete Remission 64,4 % vs. 20,0 %; 30-Tage-Mortalität 4,8 % vs. 7,5 %. Benefit bei IDH2, NPM1, FLT3-ITD; minimal bei TP53-mutierten und MDS-evolved AML.</w:t>
      </w:r>
    </w:p>
    <w:p>
      <w:r>
        <w:rPr>
          <w:b/>
          <w:sz w:val="19"/>
        </w:rPr>
        <w:t xml:space="preserve">Übertragbarkeit: </w:t>
      </w:r>
      <w:r>
        <w:rPr>
          <w:sz w:val="19"/>
        </w:rPr>
        <w:t>Spanische und südamerikanische öffentliche Kliniken, europäische Dokumentationspflichten; direkter Vergleich zu deutschen AML-Zentren.</w:t>
      </w:r>
    </w:p>
    <w:p>
      <w:r>
        <w:rPr>
          <w:color w:val="5A7D3A"/>
          <w:sz w:val="18"/>
        </w:rPr>
        <w:t>https://pubmed.ncbi.nlm.nih.gov/42839073/</w:t>
      </w:r>
    </w:p>
    <w:p>
      <w:pPr>
        <w:pStyle w:val="Heading1"/>
      </w:pPr>
      <w:r>
        <w:t>Aufgenommen am 10.10.2026</w:t>
      </w:r>
    </w:p>
    <w:p>
      <w:pPr>
        <w:pStyle w:val="Heading2"/>
      </w:pPr>
      <w:r>
        <w:t>Digital Breast Tomosynthesis senkt Intervallkrebsrate um etwa 24 Prozent</w:t>
      </w:r>
    </w:p>
    <w:p>
      <w:r>
        <w:rPr>
          <w:i/>
          <w:color w:val="666666"/>
          <w:sz w:val="18"/>
        </w:rPr>
        <w:t>Weigel S et al.  ·  Lancet Oncol  ·  09.10.2026  ·  PMID 42854706</w:t>
      </w:r>
    </w:p>
    <w:p>
      <w:r>
        <w:t>Randomisierte Studie verglich Digital Breast Tomosynthesis plus synthetisierte Mammographie versus digitale Mammographie im Screening bei 99.558 Frauen (50-70 Jahre) in Deutschland mit 24 Monaten Nachverfolgung.</w:t>
      </w:r>
    </w:p>
    <w:p>
      <w:r>
        <w:rPr>
          <w:b/>
        </w:rPr>
        <w:t xml:space="preserve">Ergebnis: </w:t>
      </w:r>
      <w:r>
        <w:t>Invasive Intervallkrebsrate 14,2 pro 10.000 (DBT-Gruppe) versus 18,6 pro 10.000 (digitale Mammographie); OR 0,76 (95% KI 0,55-1,06; p=0,11). Bei 12 Monaten signifikant: 4,5 versus 6,3 pro 10.000 (OR 0,71; p&lt;0,05). Etwa ein Viertel der Intervallkrebse könnte vermieden werden.</w:t>
      </w:r>
    </w:p>
    <w:p>
      <w:r>
        <w:rPr>
          <w:b/>
          <w:sz w:val="19"/>
        </w:rPr>
        <w:t xml:space="preserve">Übertragbarkeit: </w:t>
      </w:r>
      <w:r>
        <w:rPr>
          <w:sz w:val="19"/>
        </w:rPr>
        <w:t>Deutsche Multicenterstudie, deutsche Gesundheitsdaten direkt übertragbar</w:t>
      </w:r>
    </w:p>
    <w:p>
      <w:r>
        <w:rPr>
          <w:color w:val="5A7D3A"/>
          <w:sz w:val="18"/>
        </w:rPr>
        <w:t>https://pubmed.ncbi.nlm.nih.gov/42854706/</w:t>
      </w:r>
    </w:p>
    <w:p>
      <w:pPr>
        <w:pStyle w:val="Heading2"/>
      </w:pPr>
      <w:r>
        <w:t>Toripalimab mit Chemotherapie bei B3-Thymom und Thymuskarziom: Progression-freies Überleben 19,3 Monate</w:t>
      </w:r>
    </w:p>
    <w:p>
      <w:r>
        <w:rPr>
          <w:i/>
          <w:color w:val="666666"/>
          <w:sz w:val="18"/>
        </w:rPr>
        <w:t>Zhu K et al.  ·  ESMO Open  ·  08.10.2026  ·  PMID 42854640</w:t>
      </w:r>
    </w:p>
    <w:p>
      <w:r>
        <w:t>Phase-II-Studie (24 Patienten mit nicht resezierbarem B3-Thymom oder Thymuskarziom) mit Paclitaxel, Carboplatin plus Toripalimab (PD-L1-Inhibitor) in bis zu 6 Zyklen, dann Toripalimab-Erhaltung bis Progression.</w:t>
      </w:r>
    </w:p>
    <w:p>
      <w:r>
        <w:rPr>
          <w:b/>
        </w:rPr>
        <w:t xml:space="preserve">Ergebnis: </w:t>
      </w:r>
      <w:r>
        <w:t>Medianes Progression-freies Überleben 19,3 Monate (95% KI 12,8-25,8). Objektive Ansprechrate 37,5% (KI 18,8-59,4%), komplette Krankheitskontrolle 100%. Grad 3-4 behandlungsbedingte Nebenwirkungen bei 50,0%; Grad ≥3 immunbedingte unerwünschte Ereignisse bei 4,2%. Höhere PD-L1-Expression und spezifische Tumor-Mikroumgebungsmuster assoziiert mit besserem Outcome.</w:t>
      </w:r>
    </w:p>
    <w:p>
      <w:r>
        <w:rPr>
          <w:b/>
          <w:sz w:val="19"/>
        </w:rPr>
        <w:t xml:space="preserve">Übertragbarkeit: </w:t>
      </w:r>
      <w:r>
        <w:rPr>
          <w:sz w:val="19"/>
        </w:rPr>
        <w:t>China; Phase-II-Daten erfordern randomisierte Bestätigung vor deutschem Einsatz</w:t>
      </w:r>
    </w:p>
    <w:p>
      <w:r>
        <w:rPr>
          <w:color w:val="5A7D3A"/>
          <w:sz w:val="18"/>
        </w:rPr>
        <w:t>https://pubmed.ncbi.nlm.nih.gov/42854640/</w:t>
      </w:r>
    </w:p>
    <w:p>
      <w:pPr>
        <w:pStyle w:val="Heading2"/>
      </w:pPr>
      <w:r>
        <w:t>Früherkennung von Bauchspeicheldrüsenkrebs – gleiche Überlebenschancen trotz fortgeschrittener Erkrankung</w:t>
      </w:r>
    </w:p>
    <w:p>
      <w:r>
        <w:rPr>
          <w:i/>
          <w:color w:val="666666"/>
          <w:sz w:val="18"/>
        </w:rPr>
        <w:t>Ruze R et al.  ·  J Natl Cancer Inst  ·  09.10.2026  ·  PMID 42853071</w:t>
      </w:r>
    </w:p>
    <w:p>
      <w:r>
        <w:t>Systematische Übersichtsarbeit und Metaanalyse von 48 Studien (1.659.432 Patienten, davon 695.936 ohne Überschneidung) verglich früh auftretenden Pankreaskrebs (EOPC) mit altersgruppenüblichem Krebs (AOPC).</w:t>
      </w:r>
    </w:p>
    <w:p>
      <w:r>
        <w:rPr>
          <w:b/>
        </w:rPr>
        <w:t xml:space="preserve">Ergebnis: </w:t>
      </w:r>
      <w:r>
        <w:t>EOPC-Patienten: niedrigere Diabetesrate (OR 0,39; 95% KI 0,21-0,72), fortgeschrittenere Erkrankung (Stadium IV: OR 1,18; KI 1,02-1,36), höhere Chemotherapienutzung (OR 2,04; KI 1,69-2,45; p&lt;0,001), aber vergleichbares Gesamtüberleben (HR 1,03; KI 0,86-1,23; p=0,76). Geringe Evidenzsicherheit für alle Outcomes.</w:t>
      </w:r>
    </w:p>
    <w:p>
      <w:r>
        <w:rPr>
          <w:b/>
          <w:sz w:val="19"/>
        </w:rPr>
        <w:t xml:space="preserve">Übertragbarkeit: </w:t>
      </w:r>
      <w:r>
        <w:rPr>
          <w:sz w:val="19"/>
        </w:rPr>
        <w:t>Internationale Metaanalyse; zeigt Ansatz für gleichberechtigten Zugang zu intensiver Therapie bei frühem Alter</w:t>
      </w:r>
    </w:p>
    <w:p>
      <w:r>
        <w:rPr>
          <w:color w:val="5A7D3A"/>
          <w:sz w:val="18"/>
        </w:rPr>
        <w:t>https://pubmed.ncbi.nlm.nih.gov/42853071/</w:t>
      </w:r>
    </w:p>
    <w:p>
      <w:pPr>
        <w:pStyle w:val="Heading2"/>
      </w:pPr>
      <w:r>
        <w:t>HER2-positive Brustkrebs: Trastuzumab Deruxtecan verschiebt Behandlungsparadigmen in frühere Linien</w:t>
      </w:r>
    </w:p>
    <w:p>
      <w:r>
        <w:rPr>
          <w:i/>
          <w:color w:val="666666"/>
          <w:sz w:val="18"/>
        </w:rPr>
        <w:t>Tarantino P et al.  ·  Nat Rev Clin Oncol  ·  08.10.2026  ·  PMID 42850399</w:t>
      </w:r>
    </w:p>
    <w:p>
      <w:r>
        <w:t>Narrative Übersichtsarbeit zur Therapieevolution bei HER2-positivem Brustkrebs, einschließlich Neoadjuvanz, Adjuvanz und metastasierter Erkrankung mit Fokus auf Sequenzierung und Risikorisiko-Stratifizierung.</w:t>
      </w:r>
    </w:p>
    <w:p>
      <w:r>
        <w:rPr>
          <w:b/>
        </w:rPr>
        <w:t xml:space="preserve">Ergebnis: </w:t>
      </w:r>
      <w:r>
        <w:t>Trastuzumab Deruxtecan als Antibody-Drug-Conjugate verbessert Outcomes und wird zunehmend in frühere Behandlungslinien verschoben. Zentrale Herausforderung: Identifikation optimaler Sequenzierung, Retreatment-Strategien und Patienten für Therapieintensivierung. Tissue-, Plasma- und bildgebungsbasierte Biomarker beginnend, vielversprechendes klinisches Implementierungspotenzial für Risikoadaptation und De-Eskalation.</w:t>
      </w:r>
    </w:p>
    <w:p>
      <w:r>
        <w:rPr>
          <w:b/>
          <w:sz w:val="19"/>
        </w:rPr>
        <w:t xml:space="preserve">Übertragbarkeit: </w:t>
      </w:r>
      <w:r>
        <w:rPr>
          <w:sz w:val="19"/>
        </w:rPr>
        <w:t>Internationale Expertenübersicht; medizinische Evidenzbasis für deutsches Gesundheitssystem übertragbar</w:t>
      </w:r>
    </w:p>
    <w:p>
      <w:r>
        <w:rPr>
          <w:color w:val="5A7D3A"/>
          <w:sz w:val="18"/>
        </w:rPr>
        <w:t>https://pubmed.ncbi.nlm.nih.gov/42850399/</w:t>
      </w:r>
    </w:p>
    <w:p>
      <w:pPr>
        <w:pStyle w:val="Heading2"/>
      </w:pPr>
      <w:r>
        <w:t>Mehr Chemotherapiezyklen in Radiochemotherapie verlängern Gesamtüberleben ohne mehr Toxizität</w:t>
      </w:r>
    </w:p>
    <w:p>
      <w:r>
        <w:rPr>
          <w:i/>
          <w:color w:val="666666"/>
          <w:sz w:val="18"/>
        </w:rPr>
        <w:t>Simbirova A et al.  ·  Strahlenther Onkol  ·  08.10.2026  ·  PMID 42850392</w:t>
      </w:r>
    </w:p>
    <w:p>
      <w:r>
        <w:t>Retrospektive Analyse von 90 Patienten mit lokal fortgeschrittenem NSCLC (Stadium IIB-IIIC) unter definitiver Radiochemotherapie (56-66 Gy mit wöchentlichem Carboplatin/Paclitaxel), 50 mit nachfolgender Durvalumab-Konsolidierung.</w:t>
      </w:r>
    </w:p>
    <w:p>
      <w:r>
        <w:rPr>
          <w:b/>
        </w:rPr>
        <w:t xml:space="preserve">Ergebnis: </w:t>
      </w:r>
      <w:r>
        <w:t>Patienten mit 5-7 Chemotherapiezyklen: signifikant längeres OS als 1-4 Zyklen (p=0,048); Hazard Ratio 0,75 pro zusätzlichem Zyklus (p=0,017). Keine signifikante Steigerung früher oder später Grad-≥2-Toxizität. Frühe Grad-≥2-Anämie (27,8%) assoziiert mit schlechterer Prognose (p=0,006).</w:t>
      </w:r>
    </w:p>
    <w:p>
      <w:r>
        <w:rPr>
          <w:b/>
          <w:sz w:val="19"/>
        </w:rPr>
        <w:t xml:space="preserve">Übertragbarkeit: </w:t>
      </w:r>
      <w:r>
        <w:rPr>
          <w:sz w:val="19"/>
        </w:rPr>
        <w:t>Deutsche Universitätsklinik Dresden, vergleichbare Behandlungsstandards</w:t>
      </w:r>
    </w:p>
    <w:p>
      <w:r>
        <w:rPr>
          <w:color w:val="5A7D3A"/>
          <w:sz w:val="18"/>
        </w:rPr>
        <w:t>https://pubmed.ncbi.nlm.nih.gov/42850392/</w:t>
      </w:r>
    </w:p>
    <w:p>
      <w:pPr>
        <w:pStyle w:val="Heading1"/>
      </w:pPr>
      <w:r>
        <w:t>Aufgenommen am 09.10.2026</w:t>
      </w:r>
    </w:p>
    <w:p>
      <w:pPr>
        <w:pStyle w:val="Heading2"/>
      </w:pPr>
      <w:r>
        <w:t>Sozioökonomischer Status und Kognition nach Kinderhirntumor: schwedische Kohortenstudie</w:t>
      </w:r>
    </w:p>
    <w:p>
      <w:r>
        <w:rPr>
          <w:i/>
          <w:color w:val="666666"/>
          <w:sz w:val="18"/>
        </w:rPr>
        <w:t>Beamish J et al.  ·  Neuro Oncol  ·  08.10.2026  ·  PMID 42848686</w:t>
      </w:r>
    </w:p>
    <w:p>
      <w:r>
        <w:t>Bevölkerungsbasierte Registry-Studie mit 461 schwedischen Kindern (Diagnose 2008-2023) zu Zusammenhang zwischen Sozioökonomischem Status (Elternbildung, Einkommen, Beruf) und neurokognitiven Ergebnissen bis 5 Jahre post-diagnose.</w:t>
      </w:r>
    </w:p>
    <w:p>
      <w:r>
        <w:rPr>
          <w:b/>
        </w:rPr>
        <w:t xml:space="preserve">Ergebnis: </w:t>
      </w:r>
      <w:r>
        <w:t>Höherer SES assoziiert mit besseren z-Scores bei Verarbeitungsgeschwindigkeit (+0,23), Arbeitsgedächtnis (+0,25), nonverbalem Reasoning (+0,29) und Gesamtkognition (+0,42). Längere Zeit seit Diagnose mit Rückgang Verarbeitungsgeschwindigkeit und verbalem Reasoning. Keine Interaktion zwischen SES und Abnahmeraten, was auf reduzierte kognitive Reserve statt erhöhte Treatment-Toxizität hinweist.</w:t>
      </w:r>
    </w:p>
    <w:p>
      <w:r>
        <w:rPr>
          <w:b/>
          <w:sz w:val="19"/>
        </w:rPr>
        <w:t xml:space="preserve">Übertragbarkeit: </w:t>
      </w:r>
      <w:r>
        <w:rPr>
          <w:sz w:val="19"/>
        </w:rPr>
        <w:t>Schwedisches universales Gesundheitssystem, vergleichbar mit deutschem System und Survivalship-Dateninfrastruktur.</w:t>
      </w:r>
    </w:p>
    <w:p>
      <w:r>
        <w:rPr>
          <w:color w:val="5A7D3A"/>
          <w:sz w:val="18"/>
        </w:rPr>
        <w:t>https://pubmed.ncbi.nlm.nih.gov/42848686/</w:t>
      </w:r>
    </w:p>
    <w:p>
      <w:pPr>
        <w:pStyle w:val="Heading2"/>
      </w:pPr>
      <w:r>
        <w:t>Brain-Metastasis-Risikokalkulator für frühen Brustkrebs validiert</w:t>
      </w:r>
    </w:p>
    <w:p>
      <w:r>
        <w:rPr>
          <w:i/>
          <w:color w:val="666666"/>
          <w:sz w:val="18"/>
        </w:rPr>
        <w:t>Raghavendra AS et al.  ·  J Natl Cancer Inst  ·  08.10.2026  ·  PMID 42848614</w:t>
      </w:r>
    </w:p>
    <w:p>
      <w:r>
        <w:t>Entwicklung und Validierung eines klinischen Vorhersagemodells (BrMR) für Hirnmetastasen-Risiko bei Stadium-I-III-Brustkrebs basierend auf 40.282 Trainings- und 1.644 Validierungspatienten.</w:t>
      </w:r>
    </w:p>
    <w:p>
      <w:r>
        <w:rPr>
          <w:b/>
        </w:rPr>
        <w:t xml:space="preserve">Ergebnis: </w:t>
      </w:r>
      <w:r>
        <w:t>C-Index 0,79 (Training), 0,76 (Validierung); AUROC 0,81/0,79/0,76/0,75 nach 4/6/8/10 Jahren. HER2-Positivität, hohes Ki-67, inflammatorischer Typ und höherer T/N-Status erhöhten Risiko; ER/PR-Positivität, höheres Alter und endokrine Therapie senkten es.</w:t>
      </w:r>
    </w:p>
    <w:p>
      <w:r>
        <w:rPr>
          <w:b/>
          <w:sz w:val="19"/>
        </w:rPr>
        <w:t xml:space="preserve">Übertragbarkeit: </w:t>
      </w:r>
      <w:r>
        <w:rPr>
          <w:sz w:val="19"/>
        </w:rPr>
        <w:t>Validiert in Belgien (Institut Jules Bordet), Datengrundlage für deutsches System adaptierbar.</w:t>
      </w:r>
    </w:p>
    <w:p>
      <w:r>
        <w:rPr>
          <w:color w:val="5A7D3A"/>
          <w:sz w:val="18"/>
        </w:rPr>
        <w:t>https://pubmed.ncbi.nlm.nih.gov/42848614/</w:t>
      </w:r>
    </w:p>
    <w:p>
      <w:pPr>
        <w:pStyle w:val="Heading2"/>
      </w:pPr>
      <w:r>
        <w:t>Preinvasive regulatorische T-Zellen bei Lungenkrebsentstehung: Interventionsziel</w:t>
      </w:r>
    </w:p>
    <w:p>
      <w:r>
        <w:rPr>
          <w:i/>
          <w:color w:val="666666"/>
          <w:sz w:val="18"/>
        </w:rPr>
        <w:t>Gamble S et al.  ·  Nature  ·  07.10.2026  ·  PMID 42844481</w:t>
      </w:r>
    </w:p>
    <w:p>
      <w:r>
        <w:t>Multi-omische Studie mit Bronchoskopie und CT-Bildgebung an Patienten mit preinvasiven Lungenschleimhaut-Läsionen: Identifikation von effektiven regulatorischen CD4+-T-Zellen (eTreg, BATF+) als Frühmarker und therapeutisches Ziel.</w:t>
      </w:r>
    </w:p>
    <w:p>
      <w:r>
        <w:rPr>
          <w:b/>
        </w:rPr>
        <w:t xml:space="preserve">Ergebnis: </w:t>
      </w:r>
      <w:r>
        <w:t>eTreg-Zellen reicherten sich in hochgradigen Läsionen an und korrelierten mit zirkulierenden eTreg-Zellen. Bei Mäusen reduzierte PI3Kδ-Inhibition eTreg-reiche tertiäre lymphoide Strukturen (iTLS), senkte Lungentumoranzahl und -größe. Circulating eTreg-Zellen ermöglichten nicht-invasive Verfolgung der Tumorprogression. eTreg-Achse gekennzeichnet schnelle Progression in frühem NSCLC (CT-Screening).</w:t>
      </w:r>
    </w:p>
    <w:p>
      <w:r>
        <w:rPr>
          <w:b/>
          <w:sz w:val="19"/>
        </w:rPr>
        <w:t xml:space="preserve">Übertragbarkeit: </w:t>
      </w:r>
      <w:r>
        <w:rPr>
          <w:sz w:val="19"/>
        </w:rPr>
        <w:t>UK-Studie (UCL), Mechanismus und Biomarker übertragbar; klinische Anwendung erfordert deutsche Validierung.</w:t>
      </w:r>
    </w:p>
    <w:p>
      <w:r>
        <w:rPr>
          <w:color w:val="5A7D3A"/>
          <w:sz w:val="18"/>
        </w:rPr>
        <w:t>https://pubmed.ncbi.nlm.nih.gov/42844481/</w:t>
      </w:r>
    </w:p>
    <w:p>
      <w:pPr>
        <w:pStyle w:val="Heading2"/>
      </w:pPr>
      <w:r>
        <w:t>Single-Item-Maße für wahrgenommene Therapienebenwirkungen: Scoping Review</w:t>
      </w:r>
    </w:p>
    <w:p>
      <w:r>
        <w:rPr>
          <w:i/>
          <w:color w:val="666666"/>
          <w:sz w:val="18"/>
        </w:rPr>
        <w:t>Jones T et al.  ·  Eur J Cancer  ·  04.10.2026  ·  PMID 42843209</w:t>
      </w:r>
    </w:p>
    <w:p>
      <w:r>
        <w:t>Systematische Analyse zu Einsatz, psychometrischen Eigenschaften und Validität von Single-Item-Fragebögen (EORTC Q168, FACIT GP5) für Treatment-Related Symptom Burden in Krebsstudien.</w:t>
      </w:r>
    </w:p>
    <w:p>
      <w:r>
        <w:rPr>
          <w:b/>
        </w:rPr>
        <w:t xml:space="preserve">Ergebnis: </w:t>
      </w:r>
      <w:r>
        <w:t>67 publizierte Studien und 74 klinische Trials eingeschlossen. FACIT GP5 breiter eingesetzt über Tumortypen (n=27 psychometrische Studien), EORTC Q168 konzentriert auf Pankreas- und Gallenblasenkrebs (n=2). Nachweise für Validität, Reliabilität, Responsiveness, aber konzeptionelle Limitationen bleiben (Symptomzuordnung zu Therapie vs. Erkrankung unklar).</w:t>
      </w:r>
    </w:p>
    <w:p>
      <w:r>
        <w:rPr>
          <w:b/>
          <w:sz w:val="19"/>
        </w:rPr>
        <w:t xml:space="preserve">Übertragbarkeit: </w:t>
      </w:r>
      <w:r>
        <w:rPr>
          <w:sz w:val="19"/>
        </w:rPr>
        <w:t>Europäische Autorengruppe (EORTC), auf deutsche Studien und Zentrenprotokolle direkt anwendbar.</w:t>
      </w:r>
    </w:p>
    <w:p>
      <w:r>
        <w:rPr>
          <w:color w:val="5A7D3A"/>
          <w:sz w:val="18"/>
        </w:rPr>
        <w:t>https://pubmed.ncbi.nlm.nih.gov/42843209/</w:t>
      </w:r>
    </w:p>
    <w:p>
      <w:pPr>
        <w:pStyle w:val="Heading2"/>
      </w:pPr>
      <w:r>
        <w:t>Metastase-gerichtete Ablation im Frühstadium bringt keinen OS-Gewinn bei oligometastasiertem Brustkrebs</w:t>
      </w:r>
    </w:p>
    <w:p>
      <w:r>
        <w:rPr>
          <w:i/>
          <w:color w:val="666666"/>
          <w:sz w:val="18"/>
        </w:rPr>
        <w:t>Chmura SJ et al.  ·  J Clin Oncol  ·  07.10.2026  ·  PMID 42842849</w:t>
      </w:r>
    </w:p>
    <w:p>
      <w:r>
        <w:t>Randomisierte Phase-II/III-Studie (NRG-BR002) mit 125 Patienten (≤4 Metastasen, ≤12 Monate erste systemische Therapie): Metastase-gerichtete Ablation (SBRT/Chirurgie) + Systemtherapie versus nur Systemtherapie als Kontroll.</w:t>
      </w:r>
    </w:p>
    <w:p>
      <w:r>
        <w:rPr>
          <w:b/>
        </w:rPr>
        <w:t xml:space="preserve">Ergebnis: </w:t>
      </w:r>
      <w:r>
        <w:t>Medianes progressionsfreies Überleben: 19,5 Monate (Ablation) vs. 23,0 Monate (nur Systemtherapie); HR 0,92 (70%-KI 0,71-1,17, einseitig p=0,36). Studie schritt nicht zu Phase III vor. OS kein signifikanter Unterschied (HR 1,07, p=0,41). Explorative Analyse: möglicher Vorteil bei niedrigen/fehlenden CTCs. Keine Grade-5-Toxizitäten.</w:t>
      </w:r>
    </w:p>
    <w:p>
      <w:r>
        <w:rPr>
          <w:b/>
          <w:sz w:val="19"/>
        </w:rPr>
        <w:t xml:space="preserve">Übertragbarkeit: </w:t>
      </w:r>
      <w:r>
        <w:rPr>
          <w:sz w:val="19"/>
        </w:rPr>
        <w:t>Nordamerikanische multizentrische RCT (USA/Kanada), Patientenpopulation und Endpoints für deutsches System relevant.</w:t>
      </w:r>
    </w:p>
    <w:p>
      <w:r>
        <w:rPr>
          <w:color w:val="5A7D3A"/>
          <w:sz w:val="18"/>
        </w:rPr>
        <w:t>https://pubmed.ncbi.nlm.nih.gov/42842849/</w:t>
      </w:r>
    </w:p>
    <w:p>
      <w:pPr>
        <w:pStyle w:val="Heading2"/>
      </w:pPr>
      <w:r>
        <w:t>Adjuvante Radiotherapie reduziert Rezidive bei atypischen Meningiomen um 46 %</w:t>
      </w:r>
    </w:p>
    <w:p>
      <w:r>
        <w:rPr>
          <w:i/>
          <w:color w:val="666666"/>
          <w:sz w:val="18"/>
        </w:rPr>
        <w:t>Jenkinson MD et al.  ·  Lancet  ·  10.10.2026  ·  PMID 42790456</w:t>
      </w:r>
    </w:p>
    <w:p>
      <w:r>
        <w:t>Randomisierte Phase-3-Studie (ROAM/EORTC-1308) an 157 Patienten mit WHO-Grad-2-Meningiom nach kompletter Resektion: Radiotherapie (60 Gy/30 Fraktionen) versus Beobachtung.</w:t>
      </w:r>
    </w:p>
    <w:p>
      <w:r>
        <w:rPr>
          <w:b/>
        </w:rPr>
        <w:t xml:space="preserve">Ergebnis: </w:t>
      </w:r>
      <w:r>
        <w:t>5-Jahres-rezidivfreies Überleben: 79,9 % (Radiotherapie) vs. 64,3 % (Beobachtung); Hazard Ratio 0,51 (p=0,0396). Grad-2/3-Nebenwirkungen in 8 % der bestrahlten Patienten, keine Todesfälle durch Strahlung. Rezidive traten bei 14 % vs. 30 % auf.</w:t>
      </w:r>
    </w:p>
    <w:p>
      <w:r>
        <w:rPr>
          <w:b/>
          <w:sz w:val="19"/>
        </w:rPr>
        <w:t xml:space="preserve">Übertragbarkeit: </w:t>
      </w:r>
      <w:r>
        <w:rPr>
          <w:sz w:val="19"/>
        </w:rPr>
        <w:t>Europäische multizentrische RCT (11 Länder), übertragbar auf deutsches Versorgungssystem und Zertifizierungsstandards.</w:t>
      </w:r>
    </w:p>
    <w:p>
      <w:r>
        <w:rPr>
          <w:color w:val="5A7D3A"/>
          <w:sz w:val="18"/>
        </w:rPr>
        <w:t>https://pubmed.ncbi.nlm.nih.gov/42790456/</w:t>
      </w:r>
    </w:p>
    <w:p>
      <w:pPr>
        <w:pStyle w:val="Heading1"/>
      </w:pPr>
      <w:r>
        <w:t>Aufgenommen am 08.10.2026</w:t>
      </w:r>
    </w:p>
    <w:p>
      <w:pPr>
        <w:pStyle w:val="Heading2"/>
      </w:pPr>
      <w:r>
        <w:t>ctDNA-Dynamik nach Resektion bestimmt Therapie-Strategien beim Kolorektalkarzinom</w:t>
      </w:r>
    </w:p>
    <w:p>
      <w:r>
        <w:rPr>
          <w:i/>
          <w:color w:val="666666"/>
          <w:sz w:val="18"/>
        </w:rPr>
        <w:t>Nakamura Y et al.  ·  Ann Oncol  ·  07.10.2026  ·  PMID 42843562</w:t>
      </w:r>
    </w:p>
    <w:p>
      <w:r>
        <w:t>Prospektive Biomarker-Studie (CIRCULATE-Japan) zur postoperativen zirkulären Tumor-DNA-Dynamik und Eligibilität für MRD-gesteuerte Therapie bei Kolorektalkarzinom; insgesamt 402 Patienten eingeschlossen.</w:t>
      </w:r>
    </w:p>
    <w:p>
      <w:r>
        <w:rPr>
          <w:b/>
        </w:rPr>
        <w:t xml:space="preserve">Ergebnis: </w:t>
      </w:r>
      <w:r>
        <w:t>Postoperative ctDNA-Muster bei 402 Patienten erfasst; Details zu ctDNA-Clearance, Persistenz und Zusammenhang mit TOMR-Eligibilität für adaptive Therapiesteuerung angekündigt. Studie abgeschlossen mit vollständigem Datensatz; Primäranalyse präsentiert mit Fokus auf MRD-gelenkte Behandlungsansätze.</w:t>
      </w:r>
    </w:p>
    <w:p>
      <w:r>
        <w:rPr>
          <w:b/>
          <w:sz w:val="19"/>
        </w:rPr>
        <w:t xml:space="preserve">Übertragbarkeit: </w:t>
      </w:r>
      <w:r>
        <w:rPr>
          <w:sz w:val="19"/>
        </w:rPr>
        <w:t>Japan, Gesundheitssystem mit ähnlichen Dokumentations- und Qualitätsstandards wie Deutschland</w:t>
      </w:r>
    </w:p>
    <w:p>
      <w:r>
        <w:rPr>
          <w:color w:val="5A7D3A"/>
          <w:sz w:val="18"/>
        </w:rPr>
        <w:t>https://pubmed.ncbi.nlm.nih.gov/42843562/</w:t>
      </w:r>
    </w:p>
    <w:p>
      <w:pPr>
        <w:pStyle w:val="Heading2"/>
      </w:pPr>
      <w:r>
        <w:t>Neoadjuvantes Niraparib ermöglicht R0-Resektion bei HRD-positivem Ovarialkarzinom</w:t>
      </w:r>
    </w:p>
    <w:p>
      <w:r>
        <w:rPr>
          <w:i/>
          <w:color w:val="666666"/>
          <w:sz w:val="18"/>
        </w:rPr>
        <w:t>Liu D et al.  ·  Lancet Oncol  ·  07.10.2026  ·  PMID 42843394</w:t>
      </w:r>
    </w:p>
    <w:p>
      <w:r>
        <w:t>Phase-2-Studie zu Niraparib-Monotherapie ohne Chemotherapie bei HRD-positiven, initial inoperablen Ovarialkarzinom-Patientinnen mit hohem chirurgischem Risiko.</w:t>
      </w:r>
    </w:p>
    <w:p>
      <w:r>
        <w:rPr>
          <w:b/>
        </w:rPr>
        <w:t xml:space="preserve">Ergebnis: </w:t>
      </w:r>
      <w:r>
        <w:t>Unter 67 Patientinnen: objektive Ansprechrate 63% (95%-KI 47–76), R0-Resektionsrate 80% (95%-KI 64–91). Häufigste Grad-3/4-Nebenwirkungen waren Thrombozytopenie (48%), Leukopenie (19%), Anämie (18%); 28% hatten ernsthafte Nebenwirkungen, keine Todesfälle durch Behandlung. Strategie bleibt investigativ und benötigt randomisierte Validierung gegen Standard-Chemotherapie.</w:t>
      </w:r>
    </w:p>
    <w:p>
      <w:r>
        <w:rPr>
          <w:b/>
          <w:sz w:val="19"/>
        </w:rPr>
        <w:t xml:space="preserve">Übertragbarkeit: </w:t>
      </w:r>
      <w:r>
        <w:rPr>
          <w:sz w:val="19"/>
        </w:rPr>
        <w:t>China, ähnliche Dokumentationsstandards; Datenschnitt mit 37,7 Monaten Follow-up verfügbar</w:t>
      </w:r>
    </w:p>
    <w:p>
      <w:r>
        <w:rPr>
          <w:color w:val="5A7D3A"/>
          <w:sz w:val="18"/>
        </w:rPr>
        <w:t>https://pubmed.ncbi.nlm.nih.gov/42843394/</w:t>
      </w:r>
    </w:p>
    <w:p>
      <w:pPr>
        <w:pStyle w:val="Heading2"/>
      </w:pPr>
      <w:r>
        <w:t>Exom-Sequenzierung identifiziert erbliche Krebsrisiken bei Kindern mit Hochrisiko-Tumoren</w:t>
      </w:r>
    </w:p>
    <w:p>
      <w:r>
        <w:rPr>
          <w:i/>
          <w:color w:val="666666"/>
          <w:sz w:val="18"/>
        </w:rPr>
        <w:t>Adamde Beaumais T et al.  ·  Eur J Cancer  ·  04.10.2026  ·  PMID 42843210</w:t>
      </w:r>
    </w:p>
    <w:p>
      <w:r>
        <w:t>Systematische Keimbahnanalyse aus therapeutischem Profiling (MAPPYACTS-Studie) bei 674 Kindern mit rezidivierenden/refraktären Malignomen zur Identifikation actionabler genetischer Befunde.</w:t>
      </w:r>
    </w:p>
    <w:p>
      <w:r>
        <w:rPr>
          <w:b/>
        </w:rPr>
        <w:t xml:space="preserve">Ergebnis: </w:t>
      </w:r>
      <w:r>
        <w:t>19,3% der Patienten (130/674) trugen pathogene/wahrscheinlich pathogene Varianten in 53 Krebs-Prädispositionsgenen; 8,6% (58) benötigten genetische Beratung. Häufigste Gene: TP53 (n=17), DICER1 (n=5), BRCA1 (n=4). 35% der Befunde waren nicht vorher bekannt. Zusätzlich 10 Patienten (1,5%) mit actionablen Varianten in Nicht-Krebs-Genen (Kardiomyopathien, familiäre Hyperholesterinämie). 98,6% der Familien stimmten Offenlegung zu.</w:t>
      </w:r>
    </w:p>
    <w:p>
      <w:r>
        <w:rPr>
          <w:b/>
          <w:sz w:val="19"/>
        </w:rPr>
        <w:t xml:space="preserve">Übertragbarkeit: </w:t>
      </w:r>
      <w:r>
        <w:rPr>
          <w:sz w:val="19"/>
        </w:rPr>
        <w:t>Frankreich; multidisziplinärer Rahmen übertragbar auf deutsche Zentren mit genetischer Beratung</w:t>
      </w:r>
    </w:p>
    <w:p>
      <w:r>
        <w:rPr>
          <w:color w:val="5A7D3A"/>
          <w:sz w:val="18"/>
        </w:rPr>
        <w:t>https://pubmed.ncbi.nlm.nih.gov/42843210/</w:t>
      </w:r>
    </w:p>
    <w:p>
      <w:pPr>
        <w:pStyle w:val="Heading2"/>
      </w:pPr>
      <w:r>
        <w:t>Screening-Intervalle für Mundhöhlenkrebs können auf zehn Jahre verlängert werden</w:t>
      </w:r>
    </w:p>
    <w:p>
      <w:r>
        <w:rPr>
          <w:i/>
          <w:color w:val="666666"/>
          <w:sz w:val="18"/>
        </w:rPr>
        <w:t>Cheung LC et al.  ·  J Natl Cancer Inst  ·  07.10.2026  ·  PMID 42842394</w:t>
      </w:r>
    </w:p>
    <w:p>
      <w:r>
        <w:t>Langzeitbeobachtung von 41.225 Kau- und Raucher aus der Kerala Oral Cancer Screening Trial (1996–2010): Analyse von Screening-Sensitivität, prädiktiven Werten und natürlicher Krankheitsgeschichte über multistate-Modelle.</w:t>
      </w:r>
    </w:p>
    <w:p>
      <w:r>
        <w:rPr>
          <w:b/>
        </w:rPr>
        <w:t xml:space="preserve">Ergebnis: </w:t>
      </w:r>
      <w:r>
        <w:t>Visuelles Screening über zwei aufeinanderfolgende Untersuchungen (Median 3,5 Jahre Abstand): Sensitivität 89,2%, positiv-prädiktiver Wert 1,55%, negativer Vorhersagewert 99,96% für prävalente Krebsfälle. Wiederholte Screening-Negative hatten 32-fach niedrigeres Krebsrisiko über 11 Jahre. Mittlere Dauer von Früh- zu Spätstadium: 2,7 Jahre. Mittlere Verweilzeit in Präkanzerose: 19,3 Jahre.</w:t>
      </w:r>
    </w:p>
    <w:p>
      <w:r>
        <w:rPr>
          <w:b/>
          <w:sz w:val="19"/>
        </w:rPr>
        <w:t xml:space="preserve">Übertragbarkeit: </w:t>
      </w:r>
      <w:r>
        <w:rPr>
          <w:sz w:val="19"/>
        </w:rPr>
        <w:t>Indien, hohe Prävalenz von Kau- und Rauchtabak; Screening-Algorithmus prinzipiell auf europäische Risikopopulationen übertragbar</w:t>
      </w:r>
    </w:p>
    <w:p>
      <w:r>
        <w:rPr>
          <w:color w:val="5A7D3A"/>
          <w:sz w:val="18"/>
        </w:rPr>
        <w:t>https://pubmed.ncbi.nlm.nih.gov/42842394/</w:t>
      </w:r>
    </w:p>
    <w:p>
      <w:pPr>
        <w:pStyle w:val="Heading2"/>
      </w:pPr>
      <w:r>
        <w:t>Daratumumab plus Lenalidomid/Dexamethason verlängert Überleben bei nicht transplantierbarem Myelom</w:t>
      </w:r>
    </w:p>
    <w:p>
      <w:r>
        <w:rPr>
          <w:i/>
          <w:color w:val="666666"/>
          <w:sz w:val="18"/>
        </w:rPr>
        <w:t>Facon T et al.  ·  Leukemia  ·  06.10.2026  ·  PMID 42839070</w:t>
      </w:r>
    </w:p>
    <w:p>
      <w:r>
        <w:t>Subgruppenanalyse der MAIA-Studie nach Frailty-Status bei älteren Patienten mit neu diagnostiziertem multiplem Myelom, die nicht für Stammzelltransplantation geeignet sind.</w:t>
      </w:r>
    </w:p>
    <w:p>
      <w:r>
        <w:rPr>
          <w:b/>
        </w:rPr>
        <w:t xml:space="preserve">Ergebnis: </w:t>
      </w:r>
      <w:r>
        <w:t>Bei nicht-frailen Patienten war das Gesamtüberleben unter D-Rd signifikant besser (Median nicht erreicht vs. 69,8 Monate; HR 0,53; 95%-KI 0,37–0,76; p=0,0004); bei frailen Patienten zeigte sich ein Trend ohne Signifikanz (HR 0,79; p=0,1128). Komplette Remissionsraten und MRD-Negativität waren über alle Frailty-Gruppen hinweg verbessert; längere Therapiedauer unter D-Rd deutete auf bessere Verträglichkeit hin.</w:t>
      </w:r>
    </w:p>
    <w:p>
      <w:r>
        <w:rPr>
          <w:b/>
          <w:sz w:val="19"/>
        </w:rPr>
        <w:t xml:space="preserve">Übertragbarkeit: </w:t>
      </w:r>
      <w:r>
        <w:rPr>
          <w:sz w:val="19"/>
        </w:rPr>
        <w:t>Europäische und kanadische Kliniken; direkter Bezug zu deutschen Behandlungsstandards beim älteren Myelom-Patient</w:t>
      </w:r>
    </w:p>
    <w:p>
      <w:r>
        <w:rPr>
          <w:color w:val="5A7D3A"/>
          <w:sz w:val="18"/>
        </w:rPr>
        <w:t>https://pubmed.ncbi.nlm.nih.gov/42839070/</w:t>
      </w:r>
    </w:p>
    <w:p>
      <w:pPr>
        <w:pStyle w:val="Heading2"/>
      </w:pPr>
      <w:r>
        <w:t>Blinatumomab-Kombination verbessert Überleben bei BCR::ABL1-negativer adulter ALL in Hochrisiko-Subtypen</w:t>
      </w:r>
    </w:p>
    <w:p>
      <w:r>
        <w:rPr>
          <w:i/>
          <w:color w:val="666666"/>
          <w:sz w:val="18"/>
        </w:rPr>
        <w:t>Zhong X et al.  ·  Blood  ·  05.10.2026  ·  PMID 42832396</w:t>
      </w:r>
    </w:p>
    <w:p>
      <w:r>
        <w:t>Genomische Charakterisierung von 569 Patienten der ECOG-ACRIN E1910-Studie zu Blinatumomab plus Chemotherapie bei BCR::ABL1-negativer B-ALL; Analyse von 23 Molekularsubtypen und Treibergenen.</w:t>
      </w:r>
    </w:p>
    <w:p>
      <w:r>
        <w:rPr>
          <w:b/>
        </w:rPr>
        <w:t xml:space="preserve">Ergebnis: </w:t>
      </w:r>
      <w:r>
        <w:t>Blinatumomab-Addition führte zu verbessertem rezidivfreiem und Gesamtüberleben bei hyperdiploidem, PAX5alt, PAX5 P80R, BCR::ABL1-ähnlichem JAK-STAT und KMT2A-R-Subtyp. TP53-Alterationen oder CHIP-assoziierte Mutationen (insgesamt 15,3% bzw. 9,8%) waren mit älterem Diagnose-Alter und schlechterem Ergebnis assoziiert. Analysen für einzelne Subtypen kleinerer Fallzahlen; Bestätigung erforderlich.</w:t>
      </w:r>
    </w:p>
    <w:p>
      <w:r>
        <w:rPr>
          <w:b/>
          <w:sz w:val="19"/>
        </w:rPr>
        <w:t xml:space="preserve">Übertragbarkeit: </w:t>
      </w:r>
      <w:r>
        <w:rPr>
          <w:sz w:val="19"/>
        </w:rPr>
        <w:t>USA; genomische Klassifikation und Therapiestrategie prinzipiell auf deutsche ALL-Zentren übertragbar</w:t>
      </w:r>
    </w:p>
    <w:p>
      <w:r>
        <w:rPr>
          <w:color w:val="5A7D3A"/>
          <w:sz w:val="18"/>
        </w:rPr>
        <w:t>https://pubmed.ncbi.nlm.nih.gov/42832396/</w:t>
      </w:r>
    </w:p>
    <w:p>
      <w:pPr>
        <w:pStyle w:val="Heading1"/>
      </w:pPr>
      <w:r>
        <w:t>Aufgenommen am 07.10.2026</w:t>
      </w:r>
    </w:p>
    <w:p>
      <w:pPr>
        <w:pStyle w:val="Heading2"/>
      </w:pPr>
      <w:r>
        <w:t>Saure Mikroumgebung vermindert CD8-Immunität: Zielstruktur für Immuntherapie-Resistenz bei Magenkrebs</w:t>
      </w:r>
    </w:p>
    <w:p>
      <w:r>
        <w:rPr>
          <w:i/>
          <w:color w:val="666666"/>
          <w:sz w:val="18"/>
        </w:rPr>
        <w:t>Wang T et al.  ·  Cancer Cell  ·  06.10.2026  ·  PMID 42838052</w:t>
      </w:r>
    </w:p>
    <w:p>
      <w:r>
        <w:t>Einzelzell-Chromatin-Accessibility-Atlas von 650 Proben aus 439 Patienten mit multistep-Magenkrebsentstehung zur Identifikation epigenomischer Subtypen und ihrer Immuntherapie-Sensitivität.</w:t>
      </w:r>
    </w:p>
    <w:p>
      <w:r>
        <w:rPr>
          <w:b/>
        </w:rPr>
        <w:t xml:space="preserve">Ergebnis: </w:t>
      </w:r>
      <w:r>
        <w:t>Drei epigenomische Subtypen: proliferativ und mesenchymal-inflammatorisch sind sensitiv für neoadjuvante Immuntherapie. Ein dritter, pseudo-gastraler Subtyp ist intrinsisch therapieresistent, gekennzeichnet durch FOSL2-getriebene H+/K+-ATPase-Expression und Acidifiez­rung. Inhibition durch FOSL2-Depletion oder Vonoprazan (verfügbarer H+-Blocker) sensibilisiert für Immuntherapie und unterdrückt CD8+ T-Zellen.</w:t>
      </w:r>
    </w:p>
    <w:p>
      <w:r>
        <w:rPr>
          <w:b/>
          <w:sz w:val="19"/>
        </w:rPr>
        <w:t xml:space="preserve">Übertragbarkeit: </w:t>
      </w:r>
      <w:r>
        <w:rPr>
          <w:sz w:val="19"/>
        </w:rPr>
        <w:t>China, Mechanismus epigenetisch fundiert; Vonoprazan in Deutschland zugelassen, klinische Translation noch offen.</w:t>
      </w:r>
    </w:p>
    <w:p>
      <w:r>
        <w:rPr>
          <w:color w:val="5A7D3A"/>
          <w:sz w:val="18"/>
        </w:rPr>
        <w:t>https://pubmed.ncbi.nlm.nih.gov/42838052/</w:t>
      </w:r>
    </w:p>
    <w:p>
      <w:pPr>
        <w:pStyle w:val="Heading2"/>
      </w:pPr>
      <w:r>
        <w:t>Glofitamab plus Polatuzumab-R-CHP: 95% Complete-Response-Rate bei DLBCL</w:t>
      </w:r>
    </w:p>
    <w:p>
      <w:r>
        <w:rPr>
          <w:i/>
          <w:color w:val="666666"/>
          <w:sz w:val="18"/>
        </w:rPr>
        <w:t>Crombie JL et al.  ·  Blood  ·  06.10.2026  ·  PMID 42837325</w:t>
      </w:r>
    </w:p>
    <w:p>
      <w:r>
        <w:t>Phase-II-Studie zur Kombination des CD3xCD20-Bispecific-Antikörpers Glofitamab mit Polatuzumab und Standardchemotherapie (pola-R-CHP) bei neu diagnostiziertem diffusem großzelligem B-Zell-Lymphom mit IPI ≥2.</w:t>
      </w:r>
    </w:p>
    <w:p>
      <w:r>
        <w:rPr>
          <w:b/>
        </w:rPr>
        <w:t xml:space="preserve">Ergebnis: </w:t>
      </w:r>
      <w:r>
        <w:t>Best Complete-Response-Rate 95% (39/41; 95%-KI 83–99), beide Patienten mit Partialremission konvertierten ohne Intervention. Bei Median-Follow-up 23,9 Monate: 24-Monats-PFS 95% (95%-KI 89–100). Cytokine-Release-Syndrome nur Grad 1 (n=4, 10%), keine Neurotoxizität. Vorläufig belastbare Ansprechraten und Verträglichkeit.</w:t>
      </w:r>
    </w:p>
    <w:p>
      <w:r>
        <w:rPr>
          <w:b/>
          <w:sz w:val="19"/>
        </w:rPr>
        <w:t xml:space="preserve">Übertragbarkeit: </w:t>
      </w:r>
      <w:r>
        <w:rPr>
          <w:sz w:val="19"/>
        </w:rPr>
        <w:t>USA, ähnlicher Ressourcenausstattung wie deutsches System; Zulassung noch zu klären.</w:t>
      </w:r>
    </w:p>
    <w:p>
      <w:r>
        <w:rPr>
          <w:color w:val="5A7D3A"/>
          <w:sz w:val="18"/>
        </w:rPr>
        <w:t>https://pubmed.ncbi.nlm.nih.gov/42837325/</w:t>
      </w:r>
    </w:p>
    <w:p>
      <w:pPr>
        <w:pStyle w:val="Heading2"/>
      </w:pPr>
      <w:r>
        <w:t>Telomerlänge prognostiziert Progression bei CLL unter Venetoclax-Therapie</w:t>
      </w:r>
    </w:p>
    <w:p>
      <w:r>
        <w:rPr>
          <w:i/>
          <w:color w:val="666666"/>
          <w:sz w:val="18"/>
        </w:rPr>
        <w:t>Jebaraj BMC et al.  ·  Blood  ·  06.10.2026  ·  PMID 42837320</w:t>
      </w:r>
    </w:p>
    <w:p>
      <w:r>
        <w:t>Prospektive Analyse von 917 Patientenproben aus den randomisierten Studien GAIA/CLL13 und CLL2-GIVe zu prognostischer Bedeutung der Telomerlänge unter modernen Targeted Therapies bei chronischer lymphatischer Leukämie.</w:t>
      </w:r>
    </w:p>
    <w:p>
      <w:r>
        <w:rPr>
          <w:b/>
        </w:rPr>
        <w:t xml:space="preserve">Ergebnis: </w:t>
      </w:r>
      <w:r>
        <w:t>Kurze Telomere (Cutoff 4,17 kb) korrelierten mit ungünstigen klinischen und genetischen Merkmalen (alle p&lt;0,01). Sie waren unabhängiger Prognosefaktor für verkürztes progressionsfreies Überleben in allen Behandlungsarmen (p&lt;0,01), in der Chemoimmunotherapie auch für Gesamtüberleben (p=0,024). Unter Venetoclax-basierten Kombinationen: Median-PFS 7 Jahre bei langen Telomeren, deutlich kürzer bei kurzen.</w:t>
      </w:r>
    </w:p>
    <w:p>
      <w:r>
        <w:rPr>
          <w:b/>
          <w:sz w:val="19"/>
        </w:rPr>
        <w:t xml:space="preserve">Übertragbarkeit: </w:t>
      </w:r>
      <w:r>
        <w:rPr>
          <w:sz w:val="19"/>
        </w:rPr>
        <w:t>Deutsche und europäische Multizenterstudie, direkt auf deutsches Krebszentrumsetting übertragbar.</w:t>
      </w:r>
    </w:p>
    <w:p>
      <w:r>
        <w:rPr>
          <w:color w:val="5A7D3A"/>
          <w:sz w:val="18"/>
        </w:rPr>
        <w:t>https://pubmed.ncbi.nlm.nih.gov/42837320/</w:t>
      </w:r>
    </w:p>
    <w:p>
      <w:pPr>
        <w:pStyle w:val="Heading2"/>
      </w:pPr>
      <w:r>
        <w:t>21-Gen-Recurrence-Score bei pN2-3 Brustkrebs: OS-Vorteil durch Chemotherapie</w:t>
      </w:r>
    </w:p>
    <w:p>
      <w:r>
        <w:rPr>
          <w:i/>
          <w:color w:val="666666"/>
          <w:sz w:val="18"/>
        </w:rPr>
        <w:t>Valenza C et al.  ·  J Natl Cancer Inst  ·  06.10.2026  ·  PMID 42836707</w:t>
      </w:r>
    </w:p>
    <w:p>
      <w:r>
        <w:t>Nationale retrospektive Kohortenstudie (USA, NCDB) an 3.110 von 50.229 Patienten mit hormonrezeptorpositivem/HER2-negativem Brustkrebs (pN2-3) und 21-Gen-RS ≤25 zum Nutzen adjuvanter Chemotherapie trotz niedriger genetischer Risikogruppe.</w:t>
      </w:r>
    </w:p>
    <w:p>
      <w:r>
        <w:rPr>
          <w:b/>
        </w:rPr>
        <w:t xml:space="preserve">Ergebnis: </w:t>
      </w:r>
      <w:r>
        <w:t>Unter 2.058 getesteten Patienten mit RS ≤25 (Median 15) erhielten 68% Chemotherapie. Bei Median-Follow-up 5,3 Jahre: Adjustierte HR für Gesamtüberleben (Chemotherapie vs. keine) 0,62 (95%-KI 0,48–0,81; p=0,0002). Autoren warnen vor Confounder-by-Indication und fordern RCTs – Ergebnis unter Vorbehalt.</w:t>
      </w:r>
    </w:p>
    <w:p>
      <w:r>
        <w:rPr>
          <w:b/>
          <w:sz w:val="19"/>
        </w:rPr>
        <w:t xml:space="preserve">Übertragbarkeit: </w:t>
      </w:r>
      <w:r>
        <w:rPr>
          <w:sz w:val="19"/>
        </w:rPr>
        <w:t>USA-Klinikdaten, System unterscheidet sich; 21-Gen-Test in Deutschland begrenzt verfügbar.</w:t>
      </w:r>
    </w:p>
    <w:p>
      <w:r>
        <w:rPr>
          <w:color w:val="5A7D3A"/>
          <w:sz w:val="18"/>
        </w:rPr>
        <w:t>https://pubmed.ncbi.nlm.nih.gov/42836707/</w:t>
      </w:r>
    </w:p>
    <w:p>
      <w:pPr>
        <w:pStyle w:val="Heading2"/>
      </w:pPr>
      <w:r>
        <w:t>Antibody-Drug-Conjugates versus Chemotherapie: unterschiedliche Lebensqualitäts-Profile</w:t>
      </w:r>
    </w:p>
    <w:p>
      <w:r>
        <w:rPr>
          <w:i/>
          <w:color w:val="666666"/>
          <w:sz w:val="18"/>
        </w:rPr>
        <w:t>Milani M et al.  ·  Oncologist  ·  05.10.2026  ·  PMID 42834440</w:t>
      </w:r>
    </w:p>
    <w:p>
      <w:r>
        <w:t>Prospektive italienische Kohortenstudie (DAMA-Framework) mit elektronischen Patienten-Reported Outcome Measures (ePROMs) bei 122 Patientinnen mit metastasiertem Brustkrebs unter Second-Line-Therapie: 51 ADC vs. 71 konventionelle Chemotherapie, 6-Monats-Follow-up.</w:t>
      </w:r>
    </w:p>
    <w:p>
      <w:r>
        <w:rPr>
          <w:b/>
        </w:rPr>
        <w:t xml:space="preserve">Ergebnis: </w:t>
      </w:r>
      <w:r>
        <w:t>ADC-Gruppe: stärkerer Gewichtsverlust bei 3 Monaten (–3,1 vs. –1,2 kg), größerer Rückgang wöchentlicher körperlicher Aktivität (–41 vs. –22 Min./Woche), höhere psychische Belastung und Caregiver-Burden, aber niedrigere Schmerzwerte (3,7 vs. 5,3). Bei 6 Monaten: mehrere Unterschiede attenuiert. Physische Aktivität korrelierte nicht mit Schmerz, Stress oder Angst.</w:t>
      </w:r>
    </w:p>
    <w:p>
      <w:r>
        <w:rPr>
          <w:b/>
          <w:sz w:val="19"/>
        </w:rPr>
        <w:t xml:space="preserve">Übertragbarkeit: </w:t>
      </w:r>
      <w:r>
        <w:rPr>
          <w:sz w:val="19"/>
        </w:rPr>
        <w:t>Italien, innerhalb Europas übertragbar; ePROM-Ansatz für deutsche Versorgungsforschung relevant.</w:t>
      </w:r>
    </w:p>
    <w:p>
      <w:r>
        <w:rPr>
          <w:color w:val="5A7D3A"/>
          <w:sz w:val="18"/>
        </w:rPr>
        <w:t>https://pubmed.ncbi.nlm.nih.gov/42834440/</w:t>
      </w:r>
    </w:p>
    <w:p>
      <w:pPr>
        <w:pStyle w:val="Heading2"/>
      </w:pPr>
      <w:r>
        <w:t>Krebsinzidenz bei Kindern, Jugendlichen und jungen Erwachsenen in England 2001–2020</w:t>
      </w:r>
    </w:p>
    <w:p>
      <w:r>
        <w:rPr>
          <w:i/>
          <w:color w:val="666666"/>
          <w:sz w:val="18"/>
        </w:rPr>
        <w:t>Thompson S et al.  ·  Eur J Cancer  ·  02.10.2026  ·  PMID 42833137</w:t>
      </w:r>
    </w:p>
    <w:p>
      <w:r>
        <w:t>Nationale Registerstudie aus England (NDRS) zu Trends bei Neudiagnosen von Krebserkrankungen bei Unter-25-Jährigen über 20 Jahre mit Joinpoint-Analyse und Geschlechterstratifizierung.</w:t>
      </w:r>
    </w:p>
    <w:p>
      <w:r>
        <w:rPr>
          <w:b/>
        </w:rPr>
        <w:t xml:space="preserve">Ergebnis: </w:t>
      </w:r>
      <w:r>
        <w:t>Gesamtinzidenz 147 pro Million (0–14 Jahre) und 273 pro Million (15–24 Jahre). Lymphoidale Leukämie und Hirn-/ZNS-Tumoren: 46% der Diagnosen bei Kindern. Bei jungen Erwachsenen: Hodgkin-Lymphom 15%, malignes Melanom 9%, Hodenkrebs 24% der Männer. Kolorektaler Krebs bei 15–24-Jährigen: Anstieg bis 2015, dann APC –37,59% (p&lt;0,001). Schilddrüsenkrebs: kontinuierlicher Anstieg (APC +5,49%, p&lt;0,001). Gebärmutterhalskrebs Rückgang seit 2015 (APC –21,9%, p=0,03).</w:t>
      </w:r>
    </w:p>
    <w:p>
      <w:r>
        <w:rPr>
          <w:b/>
          <w:sz w:val="19"/>
        </w:rPr>
        <w:t xml:space="preserve">Übertragbarkeit: </w:t>
      </w:r>
      <w:r>
        <w:rPr>
          <w:sz w:val="19"/>
        </w:rPr>
        <w:t>England, vergleichbares Versicherungssystem, ähnliche Registerqualität wie Deutschland.</w:t>
      </w:r>
    </w:p>
    <w:p>
      <w:r>
        <w:rPr>
          <w:color w:val="5A7D3A"/>
          <w:sz w:val="18"/>
        </w:rPr>
        <w:t>https://pubmed.ncbi.nlm.nih.gov/42833137/</w:t>
      </w:r>
    </w:p>
    <w:p>
      <w:pPr>
        <w:pStyle w:val="Heading2"/>
      </w:pPr>
      <w:r>
        <w:t>Vaginales Östrogen bei Brust- und Gynäkologie-Krebsüberlebenden: Sicherheit und Wirksamkeit</w:t>
      </w:r>
    </w:p>
    <w:p>
      <w:r>
        <w:rPr>
          <w:i/>
          <w:color w:val="666666"/>
          <w:sz w:val="18"/>
        </w:rPr>
        <w:t>Burns JB et al.  ·  JCO Oncol Pract  ·  05.10.2026  ·  PMID 42832731</w:t>
      </w:r>
    </w:p>
    <w:p>
      <w:r>
        <w:t>Narrative Review zur Sicherheit und Wirksamkeit von Low-Dose-Vaginaloestrogen bei Behandlung von Genitourinary-Syndrome-of-Menopause (GSM) in Patienten mit früherer Brust- oder Gynäkologiakrebserkrankung basierend auf aktueller Literatur und Leitlinien.</w:t>
      </w:r>
    </w:p>
    <w:p>
      <w:r>
        <w:rPr>
          <w:b/>
        </w:rPr>
        <w:t xml:space="preserve">Ergebnis: </w:t>
      </w:r>
      <w:r>
        <w:t>Vaginoestrogen zeigt konsistent signifikante Verbesserung von GSM-Symptomen und Lebensqualität. Minimale systemische Absorption bei Low-Dose-Formulierungen (Serum-Estradiol bleibt postmenopausal). Große observationale Studien und Metaanalysen zeigen keinen erhöhten Brustkrebs-Rezidiv- oder Mortalitätsrisiko, auch bei Östrogenrezeptor-positivem Krebs und Tamoxifen-Therapie. Daten für Aromatase-Inhibitor-Patienten limitiert. Sicherheit und Wirksamkeit unterstützt bei Shared Decision-Making; nicht-hormonale Therapie erste Linie, Low-Dose-Vaginaloestrogen effektive Option bei refraktären Symptomen.</w:t>
      </w:r>
    </w:p>
    <w:p>
      <w:r>
        <w:rPr>
          <w:b/>
          <w:sz w:val="19"/>
        </w:rPr>
        <w:t xml:space="preserve">Übertragbarkeit: </w:t>
      </w:r>
      <w:r>
        <w:rPr>
          <w:sz w:val="19"/>
        </w:rPr>
        <w:t>Systematische Literaturübersicht, internationale Evidenz; deutsches Versorgungsprinzip des Shared Decision-Making abgedeckt.</w:t>
      </w:r>
    </w:p>
    <w:p>
      <w:r>
        <w:rPr>
          <w:color w:val="5A7D3A"/>
          <w:sz w:val="18"/>
        </w:rPr>
        <w:t>https://pubmed.ncbi.nlm.nih.gov/42832731/</w:t>
      </w:r>
    </w:p>
    <w:p>
      <w:pPr>
        <w:pStyle w:val="Heading1"/>
      </w:pPr>
      <w:r>
        <w:t>Aufgenommen am 06.10.2026</w:t>
      </w:r>
    </w:p>
    <w:p>
      <w:pPr>
        <w:pStyle w:val="Heading2"/>
      </w:pPr>
      <w:r>
        <w:t>EGCG reduziert EBV-Reaktivierung bei Nasopharynxkarzinom nicht</w:t>
      </w:r>
    </w:p>
    <w:p>
      <w:r>
        <w:rPr>
          <w:i/>
          <w:color w:val="666666"/>
          <w:sz w:val="18"/>
        </w:rPr>
        <w:t>Tsai HJ et al.  ·  Eur J Cancer  ·  01.10.2026  ·  PMID 42833136</w:t>
      </w:r>
    </w:p>
    <w:p>
      <w:r>
        <w:t>Randomisierte Studie bei 353 Patienten mit Nasopharynxkarzinom in Remission: Epigallocatechingallat (EGCG) aus grünem Tee versus Placebo für 3 Jahre zur Verhinderung von EBV-Reaktivierung und Tumorrezidiv.</w:t>
      </w:r>
    </w:p>
    <w:p>
      <w:r>
        <w:rPr>
          <w:b/>
        </w:rPr>
        <w:t xml:space="preserve">Ergebnis: </w:t>
      </w:r>
      <w:r>
        <w:t>EGCG reduzierte weder die EBV-DNA-Reaktivierungsrate noch die Rezidivrate signifikant. Positive plasma-EBV-DNA war jedoch stark mit hoher Rezidivrate und kürzerer rezidivfreier sowie Gesamtüberlebenszeit assoziiert (alle p&lt;0,05). EBV-DNA eignet sich als Überwachungsmarker.</w:t>
      </w:r>
    </w:p>
    <w:p>
      <w:r>
        <w:rPr>
          <w:b/>
          <w:sz w:val="19"/>
        </w:rPr>
        <w:t xml:space="preserve">Übertragbarkeit: </w:t>
      </w:r>
      <w:r>
        <w:rPr>
          <w:sz w:val="19"/>
        </w:rPr>
        <w:t>Taiwan-Studie, aber Methodik und Ergebnis sind auf HNO-Zentren übertragbar</w:t>
      </w:r>
    </w:p>
    <w:p>
      <w:r>
        <w:rPr>
          <w:color w:val="5A7D3A"/>
          <w:sz w:val="18"/>
        </w:rPr>
        <w:t>https://pubmed.ncbi.nlm.nih.gov/42833136/</w:t>
      </w:r>
    </w:p>
    <w:p>
      <w:pPr>
        <w:pStyle w:val="Heading2"/>
      </w:pPr>
      <w:r>
        <w:t>Mosunetuzumab-Polatuzumab bei älteren fragilen Patienten mit großzelligem B-Lymphom</w:t>
      </w:r>
    </w:p>
    <w:p>
      <w:r>
        <w:rPr>
          <w:i/>
          <w:color w:val="666666"/>
          <w:sz w:val="18"/>
        </w:rPr>
        <w:t>Olszewski AJ et al.  ·  Blood  ·  05.10.2026  ·  PMID 42832423</w:t>
      </w:r>
    </w:p>
    <w:p>
      <w:r>
        <w:t>Offene Phase-I/II-Studie mit 101 älteren/unfitness Patienten mit neu diagnostiziertem diffusem großzelligem B-Lymphom (Medianalter 81 Jahre): Mosunetuzumab plus Polatuzumab vedotin für bis zu 8 Zyklen, bewertet nach geriatrischer Assessmentklassifikation.</w:t>
      </w:r>
    </w:p>
    <w:p>
      <w:r>
        <w:rPr>
          <w:b/>
        </w:rPr>
        <w:t xml:space="preserve">Ergebnis: </w:t>
      </w:r>
      <w:r>
        <w:t>ORR 61,4%, komplette Remission 56,4%. Zwei-Jahres-PFS 52,2%, Zwei-Jahres-OS 62,4% (Median nicht erreicht). Cytokine-Release-Syndrome in 30,6% (überwiegend Grad 1). Infektionsbedingte Mortalität vor allem bei als 'frail' klassifizierten Patienten und während COVID-19-Pandemie.</w:t>
      </w:r>
    </w:p>
    <w:p>
      <w:r>
        <w:rPr>
          <w:b/>
          <w:sz w:val="19"/>
        </w:rPr>
        <w:t xml:space="preserve">Übertragbarkeit: </w:t>
      </w:r>
      <w:r>
        <w:rPr>
          <w:sz w:val="19"/>
        </w:rPr>
        <w:t>Internationales Design, deutschsprachiger Co-Autor, vergleichbare Behandlungsstandards</w:t>
      </w:r>
    </w:p>
    <w:p>
      <w:r>
        <w:rPr>
          <w:color w:val="5A7D3A"/>
          <w:sz w:val="18"/>
        </w:rPr>
        <w:t>https://pubmed.ncbi.nlm.nih.gov/42832423/</w:t>
      </w:r>
    </w:p>
    <w:p>
      <w:pPr>
        <w:pStyle w:val="Heading2"/>
      </w:pPr>
      <w:r>
        <w:t>RVD-lite bewährt sich langfristig bei älteren Multiplem Myelom</w:t>
      </w:r>
    </w:p>
    <w:p>
      <w:r>
        <w:rPr>
          <w:i/>
          <w:color w:val="666666"/>
          <w:sz w:val="18"/>
        </w:rPr>
        <w:t>Gustine JN et al.  ·  Clin Cancer Res  ·  05.10.2026  ·  PMID 42832368</w:t>
      </w:r>
    </w:p>
    <w:p>
      <w:r>
        <w:t>Phase-II-Studie mit 50 transplantationsungeeigneten Myelom-Patienten (Medianalter 73 Jahre): modifizierte Intensität von Lenalidomid, Bortezomib, Dexamethason über 9 Induktions- und 6 Konsolidierungszyklen, Mediannachverfolgung 72 Monate.</w:t>
      </w:r>
    </w:p>
    <w:p>
      <w:r>
        <w:rPr>
          <w:b/>
        </w:rPr>
        <w:t xml:space="preserve">Ergebnis: </w:t>
      </w:r>
      <w:r>
        <w:t>ORR 90%, ≥VGPR 66%. Median-PFS 42 Monate (5-Jahres-PFS 40%), Median-OS 76 Monate (5-Jahres-OS 63%). ECOG-Status 2 assoziiert mit schlechterer PFS und OS. Nur 4% Therapieabbau wegen Toxizität, keine behandlungsbedingte Mortalität.</w:t>
      </w:r>
    </w:p>
    <w:p>
      <w:r>
        <w:rPr>
          <w:b/>
          <w:sz w:val="19"/>
        </w:rPr>
        <w:t xml:space="preserve">Übertragbarkeit: </w:t>
      </w:r>
      <w:r>
        <w:rPr>
          <w:sz w:val="19"/>
        </w:rPr>
        <w:t>US-akademisches Zentrum, aber Outcome-Daten für deutschsprachige Praxen relevant</w:t>
      </w:r>
    </w:p>
    <w:p>
      <w:r>
        <w:rPr>
          <w:color w:val="5A7D3A"/>
          <w:sz w:val="18"/>
        </w:rPr>
        <w:t>https://pubmed.ncbi.nlm.nih.gov/42832368/</w:t>
      </w:r>
    </w:p>
    <w:p>
      <w:pPr>
        <w:pStyle w:val="Heading2"/>
      </w:pPr>
      <w:r>
        <w:t>Finanzielle Anreize fördern Rauchstopp bei Lungenkrebsscreening</w:t>
      </w:r>
    </w:p>
    <w:p>
      <w:r>
        <w:rPr>
          <w:i/>
          <w:color w:val="666666"/>
          <w:sz w:val="18"/>
        </w:rPr>
        <w:t>Hart JL et al.  ·  JAMA  ·  05.10.2026  ·  PMID 42832220</w:t>
      </w:r>
    </w:p>
    <w:p>
      <w:r>
        <w:t>Randomisierte Studie mit 3.220 unterversorgten Rauchern beim Lungenkrebsscreening in USA: vier Strategien verglichen – Standardberatung, plus freie Pharmakotherapie, plus finanzielle Anreize bis 600 USD, plus mobile Health-App.</w:t>
      </w:r>
    </w:p>
    <w:p>
      <w:r>
        <w:rPr>
          <w:b/>
        </w:rPr>
        <w:t xml:space="preserve">Ergebnis: </w:t>
      </w:r>
      <w:r>
        <w:t>Sustained Abstinenz über 6 Monate: 4,3% (Standardberatung), 5,1% (Pharmaka), 8,8% (Anreize), 7,2% (Anreize+App). Anreize zeigten adjustierte Differenz von +4,6% gegenüber Standard (p&lt;0,001) und +4,1% gegenüber Standard+Pharmaka (p&lt;0,001). Freie Medikation allein war nicht überlegen.</w:t>
      </w:r>
    </w:p>
    <w:p>
      <w:r>
        <w:rPr>
          <w:b/>
          <w:sz w:val="19"/>
        </w:rPr>
        <w:t xml:space="preserve">Übertragbarkeit: </w:t>
      </w:r>
      <w:r>
        <w:rPr>
          <w:sz w:val="19"/>
        </w:rPr>
        <w:t>USA-System mit anderer Krankenversicherung, aber Befund zu Anreizmechanismen gesundheitssystemübergreifend relevant</w:t>
      </w:r>
    </w:p>
    <w:p>
      <w:r>
        <w:rPr>
          <w:color w:val="5A7D3A"/>
          <w:sz w:val="18"/>
        </w:rPr>
        <w:t>https://pubmed.ncbi.nlm.nih.gov/42832220/</w:t>
      </w:r>
    </w:p>
    <w:p>
      <w:pPr>
        <w:pStyle w:val="Heading2"/>
      </w:pPr>
      <w:r>
        <w:t>Sequenzierung von Regorafenib vor Anti-EGFR ist möglich – Studie aber unterbesetzt</w:t>
      </w:r>
    </w:p>
    <w:p>
      <w:r>
        <w:rPr>
          <w:i/>
          <w:color w:val="666666"/>
          <w:sz w:val="18"/>
        </w:rPr>
        <w:t>Abidoye OB et al.  ·  Oncologist  ·  03.10.2026  ·  PMID 42830449</w:t>
      </w:r>
    </w:p>
    <w:p>
      <w:r>
        <w:t>Phase-II-Randomisierungsstudie REVERCE II mit 22 Patienten mit RAS/BRAF-WT metastasiertem Kolorektalkarzinom nach Standardchemotherapie: Regorafenib → Anti-EGFR versus Anti-EGFR → Regorafenib sequenziell, primärer Endpunkt Gesamtüberleben.</w:t>
      </w:r>
    </w:p>
    <w:p>
      <w:r>
        <w:rPr>
          <w:b/>
        </w:rPr>
        <w:t xml:space="preserve">Ergebnis: </w:t>
      </w:r>
      <w:r>
        <w:t>Wegen langsamer Rekrutierung vorzeitig geschlossen. Median-OS: Regorafenib-First 21,9 vs. EGFR-First 13,3 Monate (einseitig p=0,114). PFS1 2,5 vs. 5,6 Monate (p=0,998), PFS2 3,7 vs. 2,0 Monate (p=0,086). Regorafenib-First zeigte numerischen OS-Vorteil ohne Signifikanz. Keine wesentlichen Unterschiede in Nebenwirkungen.</w:t>
      </w:r>
    </w:p>
    <w:p>
      <w:r>
        <w:rPr>
          <w:b/>
          <w:sz w:val="19"/>
        </w:rPr>
        <w:t xml:space="preserve">Übertragbarkeit: </w:t>
      </w:r>
      <w:r>
        <w:rPr>
          <w:sz w:val="19"/>
        </w:rPr>
        <w:t>USA-amerikanische Studie, unterbesetzt, aber Sequenzierungsfrage für deutsche Praxen relevant</w:t>
      </w:r>
    </w:p>
    <w:p>
      <w:r>
        <w:rPr>
          <w:color w:val="5A7D3A"/>
          <w:sz w:val="18"/>
        </w:rPr>
        <w:t>https://pubmed.ncbi.nlm.nih.gov/42830449/</w:t>
      </w:r>
    </w:p>
    <w:p>
      <w:pPr>
        <w:pStyle w:val="Heading2"/>
      </w:pPr>
      <w:r>
        <w:t>Molekulares Profiling von Schweißdrüsenkarzinomen identifiziert Therapieziele</w:t>
      </w:r>
    </w:p>
    <w:p>
      <w:r>
        <w:rPr>
          <w:i/>
          <w:color w:val="666666"/>
          <w:sz w:val="18"/>
        </w:rPr>
        <w:t>Racz L et al.  ·  Eur J Cancer  ·  16.10.2026  ·  PMID 42762558</w:t>
      </w:r>
    </w:p>
    <w:p>
      <w:r>
        <w:t>Narrative Übersicht über genetische Landschaft von über 20 seltenen Schweißdrüsenkarzinom-Entitäten (SGC) mit Fokus auf Mutationslandschaften und therapeutische Angriffspunkte für aggressive Tumoren ohne Therapieoptionen im fortgeschrittenen Stadium.</w:t>
      </w:r>
    </w:p>
    <w:p>
      <w:r>
        <w:rPr>
          <w:b/>
        </w:rPr>
        <w:t xml:space="preserve">Ergebnis: </w:t>
      </w:r>
      <w:r>
        <w:t>SGCs zeigen hohe Mutationslast, UV-induzierte DNA-Schädigungssignaturen, EGFR-Dysregulation, Defekte in Homolog-Rekombinations-Reparatur. Rezidivierende Alterationen in TP53, PIK3CA, CDKN2A/B identifiziert. Fusionsgene teilweise entitätsspezifisch; digital-papilläres Adenokarzinom einziges HPV42-getriebenes SGC. Empfehlung: umfassendes molekulares Profiling + Systemregistern für seltene Krebsarten.</w:t>
      </w:r>
    </w:p>
    <w:p>
      <w:r>
        <w:rPr>
          <w:b/>
          <w:sz w:val="19"/>
        </w:rPr>
        <w:t xml:space="preserve">Übertragbarkeit: </w:t>
      </w:r>
      <w:r>
        <w:rPr>
          <w:sz w:val="19"/>
        </w:rPr>
        <w:t>Deutsche und europäische Autor:innen, deutschsprachige Zentren einbezogen, gültig für Zertifizierungsanforderungen</w:t>
      </w:r>
    </w:p>
    <w:p>
      <w:r>
        <w:rPr>
          <w:color w:val="5A7D3A"/>
          <w:sz w:val="18"/>
        </w:rPr>
        <w:t>https://pubmed.ncbi.nlm.nih.gov/42762558/</w:t>
      </w:r>
    </w:p>
    <w:p>
      <w:pPr>
        <w:pStyle w:val="Heading1"/>
      </w:pPr>
      <w:r>
        <w:t>Aufgenommen am 05.10.2026</w:t>
      </w:r>
    </w:p>
    <w:p>
      <w:pPr>
        <w:pStyle w:val="Heading2"/>
      </w:pPr>
      <w:r>
        <w:t>3D-DNA-Architektur in IDH1- und DNMT3A-mutanter AML identifiziert IGF1R- und MAPK-Vulnerabilität</w:t>
      </w:r>
    </w:p>
    <w:p>
      <w:r>
        <w:rPr>
          <w:i/>
          <w:color w:val="666666"/>
          <w:sz w:val="18"/>
        </w:rPr>
        <w:t>Steinhäuser S et al.  ·  Leukemia  ·  01.10.2026  ·  PMID 42823507</w:t>
      </w:r>
    </w:p>
    <w:p>
      <w:r>
        <w:t>Deutsche Studie an Primärproben von AML-Patienten, die mutations-spezifische Veränderungen der 3D-Genom-Architektur analysierte und damit verbundene therapeutische Targets identifizierte.</w:t>
      </w:r>
    </w:p>
    <w:p>
      <w:r>
        <w:rPr>
          <w:b/>
        </w:rPr>
        <w:t xml:space="preserve">Ergebnis: </w:t>
      </w:r>
      <w:r>
        <w:t>IDH1-mutante AML zeigte Sensitivität gegen IGF1R-Inhibitor BMS-754807, DNMT3A-mutante AML gegen p38/MAPK-Inhibitor ralimetinib. Die 3D-DNA-Konformationsveränderungen waren spezifisch für die Mutationen und wurden in Zelllinien und Patientenproben bestätigt.</w:t>
      </w:r>
    </w:p>
    <w:p>
      <w:r>
        <w:rPr>
          <w:b/>
          <w:sz w:val="19"/>
        </w:rPr>
        <w:t xml:space="preserve">Übertragbarkeit: </w:t>
      </w:r>
      <w:r>
        <w:rPr>
          <w:sz w:val="19"/>
        </w:rPr>
        <w:t>Deutsche Universitätsklinika (Kiel, Dresden, Berlin), identifiziert Therapieoptionen für AML-Subtypen</w:t>
      </w:r>
    </w:p>
    <w:p>
      <w:r>
        <w:rPr>
          <w:color w:val="5A7D3A"/>
          <w:sz w:val="18"/>
        </w:rPr>
        <w:t>https://pubmed.ncbi.nlm.nih.gov/42823507/</w:t>
      </w:r>
    </w:p>
    <w:p>
      <w:pPr>
        <w:pStyle w:val="Heading2"/>
      </w:pPr>
      <w:r>
        <w:t>Rassische Disparitäten in der Behandlung von Myelom-Knochenschaden: Afroamerikaner erhalten weniger BMAs</w:t>
      </w:r>
    </w:p>
    <w:p>
      <w:r>
        <w:rPr>
          <w:i/>
          <w:color w:val="666666"/>
          <w:sz w:val="18"/>
        </w:rPr>
        <w:t>Irimia RM et al.  ·  JCO Oncol Pract  ·  01.10.2026  ·  PMID 42821828</w:t>
      </w:r>
    </w:p>
    <w:p>
      <w:r>
        <w:t>Retrospektive Kohortenstudie an 350 neu diagnostizierten Myelompatienten (149 Afroamerikaner, 201 Weiße) zum Vergleich von Knochenereignissen und knochenmodifizierender Therapie im ersten Jahr nach Diagnose.</w:t>
      </w:r>
    </w:p>
    <w:p>
      <w:r>
        <w:rPr>
          <w:b/>
        </w:rPr>
        <w:t xml:space="preserve">Ergebnis: </w:t>
      </w:r>
      <w:r>
        <w:t>Afroamerikaner erhielten im ersten Jahr signifikant weniger knochenmodifizierende Agenzien (BMA): 64% vs. 77% (p=0,013), Mediandosen 5 vs. 7/Jahr (p&lt;0,001). Bei frühen Knochenereignissen (&lt;peridiagnostisch) waren Afroamerikaner weniger wahrscheinlich, ≥4 BMA-Dosen zu erhalten (46% vs. 76%, p&lt;0,001). Kumulatives SRE-Risiko post-peridiagnostisch unterschied sich nicht (16% vs. 21%, p=0,24).</w:t>
      </w:r>
    </w:p>
    <w:p>
      <w:r>
        <w:rPr>
          <w:b/>
          <w:sz w:val="19"/>
        </w:rPr>
        <w:t xml:space="preserve">Übertragbarkeit: </w:t>
      </w:r>
      <w:r>
        <w:rPr>
          <w:sz w:val="19"/>
        </w:rPr>
        <w:t>USA-Zentren, aber Erkenntnis zu Therapiedisparitäten und Unterbehandlung relevant für deutsche Versorgungsqualität</w:t>
      </w:r>
    </w:p>
    <w:p>
      <w:r>
        <w:rPr>
          <w:color w:val="5A7D3A"/>
          <w:sz w:val="18"/>
        </w:rPr>
        <w:t>https://pubmed.ncbi.nlm.nih.gov/42821828/</w:t>
      </w:r>
    </w:p>
    <w:p>
      <w:pPr>
        <w:pStyle w:val="Heading2"/>
      </w:pPr>
      <w:r>
        <w:t>Nivolumab + Ipilimumab + Strahlentherapie in mikrosatellit-stabiler CRC: ORR 10%, aber 25% bei Patienten ohne Lebermetastasen</w:t>
      </w:r>
    </w:p>
    <w:p>
      <w:r>
        <w:rPr>
          <w:i/>
          <w:color w:val="666666"/>
          <w:sz w:val="18"/>
        </w:rPr>
        <w:t>Pappas L et al.  ·  Clin Cancer Res  ·  01.10.2026  ·  PMID 42820689</w:t>
      </w:r>
    </w:p>
    <w:p>
      <w:r>
        <w:t>US-amerikanische Phase-II-Studie zur Kombination von Immune-Checkpoint-Inhibitoren mit nicht-ablativer Strahlentherapie bei refraktärer mikrosatellit-stabiler metastasierter CRC.</w:t>
      </w:r>
    </w:p>
    <w:p>
      <w:r>
        <w:rPr>
          <w:b/>
        </w:rPr>
        <w:t xml:space="preserve">Ergebnis: </w:t>
      </w:r>
      <w:r>
        <w:t>30 Patienten eingeschlossen: Gesamtansprechrate 10,0%, Krankheitskontrollrate 33,3% (unbestrahlte Läsionen). Bei Patienten ohne aktive Lebermetastasen (n=8) ORR 25%, bei Lebermetastasen (n=22) ORR 4,6%. Mediane PFS 2,4 Monate, mediane OS 12,8 Monate (95% KI 6,8–17,9). Nur 10% Grad-4-Toxizität (Lymphopenie).</w:t>
      </w:r>
    </w:p>
    <w:p>
      <w:r>
        <w:rPr>
          <w:b/>
          <w:sz w:val="19"/>
        </w:rPr>
        <w:t xml:space="preserve">Übertragbarkeit: </w:t>
      </w:r>
      <w:r>
        <w:rPr>
          <w:sz w:val="19"/>
        </w:rPr>
        <w:t>USA-Zentren, Mechanismus (Strahlentherapie + ICI) auf deutsche Zentren übertragbar</w:t>
      </w:r>
    </w:p>
    <w:p>
      <w:r>
        <w:rPr>
          <w:color w:val="5A7D3A"/>
          <w:sz w:val="18"/>
        </w:rPr>
        <w:t>https://pubmed.ncbi.nlm.nih.gov/42820689/</w:t>
      </w:r>
    </w:p>
    <w:p>
      <w:pPr>
        <w:pStyle w:val="Heading2"/>
      </w:pPr>
      <w:r>
        <w:t>TROP2-ADC F0024 in triple-negativer Brustkrebs: ORR 37,9% bei 10 mg/kg, mediane PFS 10,5 Monate</w:t>
      </w:r>
    </w:p>
    <w:p>
      <w:r>
        <w:rPr>
          <w:i/>
          <w:color w:val="666666"/>
          <w:sz w:val="18"/>
        </w:rPr>
        <w:t>Du Y et al.  ·  Eur J Cancer  ·  24.09.2026  ·  PMID 42810148</w:t>
      </w:r>
    </w:p>
    <w:p>
      <w:r>
        <w:t>Phase-I-Studie mit Dosisexpansion eines TROP2-gerichteten Antikörper-Wirkstoff-Konjugats in fortgeschrittenen Tumoren, Fokus triple-negative Brustkrebs (TNBC).</w:t>
      </w:r>
    </w:p>
    <w:p>
      <w:r>
        <w:rPr>
          <w:b/>
        </w:rPr>
        <w:t xml:space="preserve">Ergebnis: </w:t>
      </w:r>
      <w:r>
        <w:t>Bei 10 mg/kg (empfohlene Phase-II-Dosis): ORR 37,9%, mediane PFS 10,5 Monate in TNBC-Kohorte (n=29). Grad-≥3-Nebenwirkungen bei 57,7% (vorwiegend Hämatotoxizität). Dosiseskalation bei 15 mg/kg wegen kumulativer Toxizität gestoppt.</w:t>
      </w:r>
    </w:p>
    <w:p>
      <w:r>
        <w:rPr>
          <w:b/>
          <w:sz w:val="19"/>
        </w:rPr>
        <w:t xml:space="preserve">Übertragbarkeit: </w:t>
      </w:r>
      <w:r>
        <w:rPr>
          <w:sz w:val="19"/>
        </w:rPr>
        <w:t>China, aber Wirkmuster und Sicherheitsprofil für Phase-II-Planung international relevant</w:t>
      </w:r>
    </w:p>
    <w:p>
      <w:r>
        <w:rPr>
          <w:color w:val="5A7D3A"/>
          <w:sz w:val="18"/>
        </w:rPr>
        <w:t>https://pubmed.ncbi.nlm.nih.gov/42810148/</w:t>
      </w:r>
    </w:p>
    <w:p>
      <w:pPr>
        <w:pStyle w:val="Heading2"/>
      </w:pPr>
      <w:r>
        <w:t>Zugang zu klinischen Studien bei Nierenzellkarzinom: Innovation erreicht unterversorgte Gemeinschaften nicht</w:t>
      </w:r>
    </w:p>
    <w:p>
      <w:r>
        <w:rPr>
          <w:i/>
          <w:color w:val="666666"/>
          <w:sz w:val="18"/>
        </w:rPr>
        <w:t>Nandakumar V et al.  ·  JCO Oncol Pract  ·  29.09.2026  ·  PMID 42809806</w:t>
      </w:r>
    </w:p>
    <w:p>
      <w:r>
        <w:t>Qualitative Analyse der Barrieren für den Zugang zu klinischen Studien bei Nierenzellkarzinom in den USA, mit Fokus auf strukturelle und sozioökonomische Ungleichheiten.</w:t>
      </w:r>
    </w:p>
    <w:p>
      <w:r>
        <w:rPr>
          <w:b/>
        </w:rPr>
        <w:t xml:space="preserve">Ergebnis: </w:t>
      </w:r>
      <w:r>
        <w:t>Identifizierte Schlüsselbarrieren: geografische Distanz, finanzielle Belastung, mangelnde Informationen, Transportprobleme und systeminterne Aufnahmekriterien. Unterrepräsentierte Patienten hatten deutlich niedrigere Teilnahmeraten. Patienten in ländlichen Gegenden und mit niedrigerem Einkommen waren systematisch ausgeschlossen.</w:t>
      </w:r>
    </w:p>
    <w:p>
      <w:r>
        <w:rPr>
          <w:b/>
          <w:sz w:val="19"/>
        </w:rPr>
        <w:t xml:space="preserve">Übertragbarkeit: </w:t>
      </w:r>
      <w:r>
        <w:rPr>
          <w:sz w:val="19"/>
        </w:rPr>
        <w:t>USA-System, aber Erkenntnisse zu Zugangsungleichheiten gelten teilweise für deutsche Versorgungsregionen</w:t>
      </w:r>
    </w:p>
    <w:p>
      <w:r>
        <w:rPr>
          <w:color w:val="5A7D3A"/>
          <w:sz w:val="18"/>
        </w:rPr>
        <w:t>https://pubmed.ncbi.nlm.nih.gov/42809806/</w:t>
      </w:r>
    </w:p>
    <w:p>
      <w:pPr>
        <w:pStyle w:val="Heading2"/>
      </w:pPr>
      <w:r>
        <w:t>Sentinelbiopsie nach Neoadjuvanz bei lokal fortgeschrittener Brustkrebs: Falsch-negativ-Rate 2,1%</w:t>
      </w:r>
    </w:p>
    <w:p>
      <w:r>
        <w:rPr>
          <w:i/>
          <w:color w:val="666666"/>
          <w:sz w:val="18"/>
        </w:rPr>
        <w:t>Barrio AV et al.  ·  J Clin Oncol  ·  29.09.2026  ·  PMID 42809799</w:t>
      </w:r>
    </w:p>
    <w:p>
      <w:r>
        <w:t>Prospektive US-amerikanische Studie zum Staging der Axilla mittels Sentinelbiopsie nach neoadjuvanter Chemotherapie bei Patientinnen mit lokal fortgeschrittenem Brustkrebs (cT4/cN2-N3).</w:t>
      </w:r>
    </w:p>
    <w:p>
      <w:r>
        <w:rPr>
          <w:b/>
        </w:rPr>
        <w:t xml:space="preserve">Ergebnis: </w:t>
      </w:r>
      <w:r>
        <w:t>Von 145 Patienten wurden 87 mit adäquatem Mapping ausgewertet; Sentinelknoten wurden in 74% identifiziert. Falsch-negativ-Rate 2,1% (95% KI 0,1–12,7%), pathologische komplette Response 46%, nur 1 falsch-negativ in 47 Patienten mit Resterkrankung.</w:t>
      </w:r>
    </w:p>
    <w:p>
      <w:r>
        <w:rPr>
          <w:b/>
          <w:sz w:val="19"/>
        </w:rPr>
        <w:t xml:space="preserve">Übertragbarkeit: </w:t>
      </w:r>
      <w:r>
        <w:rPr>
          <w:sz w:val="19"/>
        </w:rPr>
        <w:t>USA-Zentren, aber Sentinelbiopsie-Standard übertragbar auf deutsche Zentren</w:t>
      </w:r>
    </w:p>
    <w:p>
      <w:r>
        <w:rPr>
          <w:color w:val="5A7D3A"/>
          <w:sz w:val="18"/>
        </w:rPr>
        <w:t>https://pubmed.ncbi.nlm.nih.gov/42809799/</w:t>
      </w:r>
    </w:p>
    <w:p>
      <w:pPr>
        <w:pStyle w:val="Heading1"/>
      </w:pPr>
      <w:r>
        <w:t>Aufgenommen am 04.10.2026</w:t>
      </w:r>
    </w:p>
    <w:p>
      <w:pPr>
        <w:pStyle w:val="Heading2"/>
      </w:pPr>
      <w:r>
        <w:t>Urin-cfRNA detektiert Blasenkrebs mit 95% Sensitivität, sagt BCG-Response voraus</w:t>
      </w:r>
    </w:p>
    <w:p>
      <w:r>
        <w:rPr>
          <w:i/>
          <w:color w:val="666666"/>
          <w:sz w:val="18"/>
        </w:rPr>
        <w:t>Liu KJ et al.  ·  Nat Med  ·  02.10.2026  ·  PMID 42827132</w:t>
      </w:r>
    </w:p>
    <w:p>
      <w:r>
        <w:t>Prospektive Validierungsstudie einer Liquid-Biopsy-Methode (uRARE-seq) für tumorspezifische RNA-Fragmente im Urin bei 683 Patienten mit und ohne Urogenital-Karzinome.</w:t>
      </w:r>
    </w:p>
    <w:p>
      <w:r>
        <w:rPr>
          <w:b/>
        </w:rPr>
        <w:t xml:space="preserve">Ergebnis: </w:t>
      </w:r>
      <w:r>
        <w:t>Für lokalisiertes Blasenkarzinom: 95% Sensitivität bei 90% Spezifität. Urin-cfRNA übertraf tumor-DNA-Analyse und war unaffiziert von Feldeffekt-Mutationen. Biomarker in Urin vor BCG-Therapie (Area-under-the-Curve 0,93) sagte BCG-Response voraus: Responder zeigten T-Zell- und Immun-Signaturen, Nicht-Responder Proliferations-Gene. Minimal Residual Disease wurde sensitiv detektiert. Ein Ansatz mit klinischem Nutzenpotential für Blasenkarzinom-Stratifizierung.</w:t>
      </w:r>
    </w:p>
    <w:p>
      <w:r>
        <w:rPr>
          <w:b/>
          <w:sz w:val="19"/>
        </w:rPr>
        <w:t xml:space="preserve">Übertragbarkeit: </w:t>
      </w:r>
      <w:r>
        <w:rPr>
          <w:sz w:val="19"/>
        </w:rPr>
        <w:t>USA-basierte Studie; Liquid-Biopsy-Methode technisch übertragbar, prospektive Validierung erforderlich.</w:t>
      </w:r>
    </w:p>
    <w:p>
      <w:r>
        <w:rPr>
          <w:color w:val="5A7D3A"/>
          <w:sz w:val="18"/>
        </w:rPr>
        <w:t>https://pubmed.ncbi.nlm.nih.gov/42827132/</w:t>
      </w:r>
    </w:p>
    <w:p>
      <w:pPr>
        <w:pStyle w:val="Heading2"/>
      </w:pPr>
      <w:r>
        <w:t>Ibrutinib-Venetoclax senkt Gesamtüberleben bei älteren CLL-Patienten deutlich</w:t>
      </w:r>
    </w:p>
    <w:p>
      <w:r>
        <w:rPr>
          <w:i/>
          <w:color w:val="666666"/>
          <w:sz w:val="18"/>
        </w:rPr>
        <w:t>U Niemann C et al.  ·  Leukemia  ·  02.10.2026  ·  PMID 42827117</w:t>
      </w:r>
    </w:p>
    <w:p>
      <w:r>
        <w:t>Randomisierte Phase-III-Studie (GLOW) verglich Ibrutinib-Venetoclax mit Chlorambucil-Obinutuzumab bei älteren/komorbiditätsbelasteten CLL-Patienten mit 67-Monat-Nachverfolgung.</w:t>
      </w:r>
    </w:p>
    <w:p>
      <w:r>
        <w:rPr>
          <w:b/>
        </w:rPr>
        <w:t xml:space="preserve">Ergebnis: </w:t>
      </w:r>
      <w:r>
        <w:t>Gesamtüberleben nach 66 Monaten: 79,0% vs 60,8% (Hazard Ratio 0,46). Ibrutinib-Venetoclax reduzierte das Risiko für Zweitlinientherapie um 77,4%. Progressionsfreies Überleben nach 66 Monaten: 51,7% vs 18,1% (HR 0,27). Grade-3/4-toxizitätsfreies PFS 21,4 Monate länger (51,6 vs 30,2 Monate). Eine klare Überlegenheit für die fixierte Zweierkombination bei älteren Patienten.</w:t>
      </w:r>
    </w:p>
    <w:p>
      <w:r>
        <w:rPr>
          <w:b/>
          <w:sz w:val="19"/>
        </w:rPr>
        <w:t xml:space="preserve">Übertragbarkeit: </w:t>
      </w:r>
      <w:r>
        <w:rPr>
          <w:sz w:val="19"/>
        </w:rPr>
        <w:t>Europäische Multicenterstudie mit HOVON-Zentren, deutschem Versorgungsstandard entsprechend.</w:t>
      </w:r>
    </w:p>
    <w:p>
      <w:r>
        <w:rPr>
          <w:color w:val="5A7D3A"/>
          <w:sz w:val="18"/>
        </w:rPr>
        <w:t>https://pubmed.ncbi.nlm.nih.gov/42827117/</w:t>
      </w:r>
    </w:p>
    <w:p>
      <w:pPr>
        <w:pStyle w:val="Heading2"/>
      </w:pPr>
      <w:r>
        <w:t>Chemotherapie + Krebsimpfstoff: TCF1+-T-Zellen erklären synergistischen Effekt</w:t>
      </w:r>
    </w:p>
    <w:p>
      <w:r>
        <w:rPr>
          <w:i/>
          <w:color w:val="666666"/>
          <w:sz w:val="18"/>
        </w:rPr>
        <w:t>Noblecourt L et al.  ·  Cancer Cell  ·  02.10.2026  ·  PMID 42826713</w:t>
      </w:r>
    </w:p>
    <w:p>
      <w:r>
        <w:t>Präklinische und erste translatorische Studie zur mechanistischen Erklärung, warum Carboplatin-Paclitaxel und Cyclophosphamid die Effizienz von Virus-Vektor-Impfstoffen gegen Tumorantigen erhöhen; Experimente mit Maus- und Patientenzellen.</w:t>
      </w:r>
    </w:p>
    <w:p>
      <w:r>
        <w:rPr>
          <w:b/>
        </w:rPr>
        <w:t xml:space="preserve">Ergebnis: </w:t>
      </w:r>
      <w:r>
        <w:t>Carboplatin-Paclitaxel induziert frühe, antigen-unabhängige Expansion von Stamm-ähnlichen TCF1+CD8+-T-Zellen. Genetische oder pharmakologische TCF1-Blockierung hebt den Immunaduvans-Effekt auf. Kombinationstriple (Vakzin + CarboTaxol + PD-1-Blockade) verbessert Tumorkon trolle und Überleben in Mausmodellen stärker als Einzelbehandlungen. Der TCF1-abhängige Mechanismus erklärt Synergie und identifiziert neue Kombinationsstrategien für klinische Evaluation.</w:t>
      </w:r>
    </w:p>
    <w:p>
      <w:r>
        <w:rPr>
          <w:b/>
          <w:sz w:val="19"/>
        </w:rPr>
        <w:t xml:space="preserve">Übertragbarkeit: </w:t>
      </w:r>
      <w:r>
        <w:rPr>
          <w:sz w:val="19"/>
        </w:rPr>
        <w:t>UK/Niederlande-Kohorte, mechanistisches Verständnis transkulturell relevant für Impfstoff-Kombinationen.</w:t>
      </w:r>
    </w:p>
    <w:p>
      <w:r>
        <w:rPr>
          <w:color w:val="5A7D3A"/>
          <w:sz w:val="18"/>
        </w:rPr>
        <w:t>https://pubmed.ncbi.nlm.nih.gov/42826713/</w:t>
      </w:r>
    </w:p>
    <w:p>
      <w:pPr>
        <w:pStyle w:val="Heading2"/>
      </w:pPr>
      <w:r>
        <w:t>ERBB2-Mutationen in Lungenkarzinom: Heterogenität und Trastuzumab-Deruxtecan-Benefit</w:t>
      </w:r>
    </w:p>
    <w:p>
      <w:r>
        <w:rPr>
          <w:i/>
          <w:color w:val="666666"/>
          <w:sz w:val="18"/>
        </w:rPr>
        <w:t>Yamashita M et al.  ·  Eur J Cancer  ·  29.09.2026  ·  PMID 42826440</w:t>
      </w:r>
    </w:p>
    <w:p>
      <w:r>
        <w:t>Japanische Real-World-Kohorte von 319 Patienten mit ERBB2-aktivierenden Mutationen im NSCLC mittels Genomik-Datenbank untersucht.</w:t>
      </w:r>
    </w:p>
    <w:p>
      <w:r>
        <w:rPr>
          <w:b/>
        </w:rPr>
        <w:t xml:space="preserve">Ergebnis: </w:t>
      </w:r>
      <w:r>
        <w:t>74% hatten kanonische Tyrosinkinase-Domänen-Insertionen; 26% nonkanonische Varianten (TKD-Missense 8%, transmembran 10%, extrazelluläre Domäne 8%). Co-driver-Alterationen in nur 5,6% (überwiegend nonkanonisch). 27% der 288 Patienten (78 von 288) erhielten Trastuzumab-Deruxtecan; time-abhängige T-DXd-Exposition assoziiert mit reduziertem Mortalitätsrisiko (adjusted HR 0,63; 95% KI 0,39-1,01; p=0,057). Wesentliche molekulare Heterogenität mit therapeutischen Implikationen.</w:t>
      </w:r>
    </w:p>
    <w:p>
      <w:r>
        <w:rPr>
          <w:b/>
          <w:sz w:val="19"/>
        </w:rPr>
        <w:t xml:space="preserve">Übertragbarkeit: </w:t>
      </w:r>
      <w:r>
        <w:rPr>
          <w:sz w:val="19"/>
        </w:rPr>
        <w:t>Japan, vergleichbare Genomik-Strukturen; Trastuzumab-Deruxtecan in Deutschland verfügbar.</w:t>
      </w:r>
    </w:p>
    <w:p>
      <w:r>
        <w:rPr>
          <w:color w:val="5A7D3A"/>
          <w:sz w:val="18"/>
        </w:rPr>
        <w:t>https://pubmed.ncbi.nlm.nih.gov/42826440/</w:t>
      </w:r>
    </w:p>
    <w:p>
      <w:pPr>
        <w:pStyle w:val="Heading2"/>
      </w:pPr>
      <w:r>
        <w:t>Tirabrutinib für rezidivertes primäres ZNS-Lymphom: 67% Ansprechquote, rascher Wirkeintritt</w:t>
      </w:r>
    </w:p>
    <w:p>
      <w:r>
        <w:rPr>
          <w:i/>
          <w:color w:val="666666"/>
          <w:sz w:val="18"/>
        </w:rPr>
        <w:t>Grommes C et al.  ·  Blood  ·  01.10.2026  ·  PMID 42821736</w:t>
      </w:r>
    </w:p>
    <w:p>
      <w:r>
        <w:t>Phase-1b/2-Studie zu dem BTK-Inhibitor Tirabrutinib als Monotherapie bei 48 Patienten mit rezidiviertem/refraktärem pCNSL nach Hochdosis-Methotrexat-Vorbehandlung.</w:t>
      </w:r>
    </w:p>
    <w:p>
      <w:r>
        <w:rPr>
          <w:b/>
        </w:rPr>
        <w:t xml:space="preserve">Ergebnis: </w:t>
      </w:r>
      <w:r>
        <w:t>Objektive Ansprechquote 67% (95% KI 52–80%), vollständige Remission 44% (95% KI 29–59%). Mediane Ansprechdauer 9,3 Monate (95% KI 4,6–14,6), mediane Zeit bis Ansprechen 1,0 Monat. Treatment-related adverse events in 75% (häufig Anämie 19%, Ausschlag 17%, Fatigue 15%), Grade-≥3 in 27% (Neutropenie 8%). Ein behandelbares Toxizitätsprofil für rare Indikation mit hohem ungedecktem Bedarf.</w:t>
      </w:r>
    </w:p>
    <w:p>
      <w:r>
        <w:rPr>
          <w:b/>
          <w:sz w:val="19"/>
        </w:rPr>
        <w:t xml:space="preserve">Übertragbarkeit: </w:t>
      </w:r>
      <w:r>
        <w:rPr>
          <w:sz w:val="19"/>
        </w:rPr>
        <w:t>USA-Studie, BTK-Inhibitor-Klasse europaweit verfügbar; Zentrumserfordernis für pCNSL-Versorgung prüfen.</w:t>
      </w:r>
    </w:p>
    <w:p>
      <w:r>
        <w:rPr>
          <w:color w:val="5A7D3A"/>
          <w:sz w:val="18"/>
        </w:rPr>
        <w:t>https://pubmed.ncbi.nlm.nih.gov/42821736/</w:t>
      </w:r>
    </w:p>
    <w:p>
      <w:pPr>
        <w:pStyle w:val="Heading2"/>
      </w:pPr>
      <w:r>
        <w:t>Leitlinie Multiples Myelom 2026 – kontinuierliche Aktualisierung basierend auf neuer Evidenz</w:t>
      </w:r>
    </w:p>
    <w:p>
      <w:r>
        <w:rPr>
          <w:i/>
          <w:color w:val="666666"/>
          <w:sz w:val="18"/>
        </w:rPr>
        <w:t>Banerjee R et al.  ·  J Clin Oncol  ·  30.09.2026  ·  PMID 42814948</w:t>
      </w:r>
    </w:p>
    <w:p>
      <w:r>
        <w:t>ASCO Living Guideline für Behandlung des Multiplen Myeloms mit regelmäßigen Aktualisierungen durch Expertengruppe bei schnell wechselnder Evidenz.</w:t>
      </w:r>
    </w:p>
    <w:p>
      <w:r>
        <w:rPr>
          <w:b/>
        </w:rPr>
        <w:t xml:space="preserve">Ergebnis: </w:t>
      </w:r>
      <w:r>
        <w:t>Leitlinie wird kontinuierlich aktualisiert; konkrete Therapie-Empfehlungen folgen Systematische-Review-Prozeduren und werden mindestens jährlich überprüft. Die aktuelle Version 2026.1.3 berücksichtigt neue Kombinationsprotokolle, CAR-T und zielgerichtete Therapien mit prognose-adaptiven Strategien für Risiko-Stratifizierung.</w:t>
      </w:r>
    </w:p>
    <w:p>
      <w:r>
        <w:rPr>
          <w:b/>
          <w:sz w:val="19"/>
        </w:rPr>
        <w:t xml:space="preserve">Übertragbarkeit: </w:t>
      </w:r>
      <w:r>
        <w:rPr>
          <w:sz w:val="19"/>
        </w:rPr>
        <w:t>USA-ASCO-Guideline; weit überwiegend international anwendbar, Dosierungen/Verfügbarkeiten lokal zu prüfen.</w:t>
      </w:r>
    </w:p>
    <w:p>
      <w:r>
        <w:rPr>
          <w:color w:val="5A7D3A"/>
          <w:sz w:val="18"/>
        </w:rPr>
        <w:t>https://pubmed.ncbi.nlm.nih.gov/42814948/</w:t>
      </w:r>
    </w:p>
    <w:p>
      <w:pPr>
        <w:pStyle w:val="Heading2"/>
      </w:pPr>
      <w:r>
        <w:t>Aglatimagene bei lokalisiertem Prostatakarzinom: kritische Neubeobachtung</w:t>
      </w:r>
    </w:p>
    <w:p>
      <w:r>
        <w:rPr>
          <w:i/>
          <w:color w:val="666666"/>
          <w:sz w:val="18"/>
        </w:rPr>
        <w:t>Büttner T et al.  ·  Lancet Oncol  ·  Okt. 2026  ·  PMID 42805200</w:t>
      </w:r>
    </w:p>
    <w:p>
      <w:r>
        <w:t>Kommentar deutschsprachiger Urologen zur Neubewertung des Viren-Therapiestoffs Aglatimagene bei lokalisiertem Prostatakarzinom.</w:t>
      </w:r>
    </w:p>
    <w:p>
      <w:r>
        <w:rPr>
          <w:b/>
        </w:rPr>
        <w:t xml:space="preserve">Ergebnis: </w:t>
      </w:r>
      <w:r>
        <w:t>Keine konkreten Endpunkte im Abstract; die Arbeit erörtert Limitationen bisheriger Daten zu einer experimentellen Therapie mit unklarer klinischer Rolle. Die Autoren fordern Klärung vor breiter Anwendung.</w:t>
      </w:r>
    </w:p>
    <w:p>
      <w:r>
        <w:rPr>
          <w:b/>
          <w:sz w:val="19"/>
        </w:rPr>
        <w:t xml:space="preserve">Übertragbarkeit: </w:t>
      </w:r>
      <w:r>
        <w:rPr>
          <w:sz w:val="19"/>
        </w:rPr>
        <w:t>Deutschland (Bonn, Erlangen), deutsches Versorgungssystem betroffen.</w:t>
      </w:r>
    </w:p>
    <w:p>
      <w:r>
        <w:rPr>
          <w:color w:val="5A7D3A"/>
          <w:sz w:val="18"/>
        </w:rPr>
        <w:t>https://pubmed.ncbi.nlm.nih.gov/42805200/</w:t>
      </w:r>
    </w:p>
    <w:p>
      <w:pPr>
        <w:pStyle w:val="Heading1"/>
      </w:pPr>
      <w:r>
        <w:t>Aufgenommen am 03.10.2026</w:t>
      </w:r>
    </w:p>
    <w:p>
      <w:pPr>
        <w:pStyle w:val="Heading2"/>
      </w:pPr>
      <w:r>
        <w:t>Leitlinie Infektionsprophylaxe bei pädiatrischer Onkologie: aktualisierte Empfehlungen</w:t>
      </w:r>
    </w:p>
    <w:p>
      <w:r>
        <w:rPr>
          <w:i/>
          <w:color w:val="666666"/>
          <w:sz w:val="18"/>
        </w:rPr>
        <w:t>Morgan JE et al.  ·  J Clin Oncol  ·  02.10.2026  ·  PMID 42826360</w:t>
      </w:r>
    </w:p>
    <w:p>
      <w:r>
        <w:t>Systematische Überprüfung und Harmonisierung von Leitlinienempfehlungen zur antibakteriellen und antimykotischen Prophylaxe bei Kindern mit Krebs und nach Stammzelltransplantation.</w:t>
      </w:r>
    </w:p>
    <w:p>
      <w:r>
        <w:rPr>
          <w:b/>
        </w:rPr>
        <w:t xml:space="preserve">Ergebnis: </w:t>
      </w:r>
      <w:r>
        <w:t>Starke Empfehlung für Antifungal-Prophylaxe (Echinocandin oder Mold-active Azol) bei AML und allogener Transplantation; konditionale Empfehlung für Antibakteriell-Prophylaxe mit Levofloxacin bei AML und rezidivierter ALL. 13 neue randomisierte Studien seit 2019 identifiziert; insgesamt 195 Studien berücksichtigt.</w:t>
      </w:r>
    </w:p>
    <w:p>
      <w:r>
        <w:rPr>
          <w:b/>
          <w:sz w:val="19"/>
        </w:rPr>
        <w:t xml:space="preserve">Übertragbarkeit: </w:t>
      </w:r>
      <w:r>
        <w:rPr>
          <w:sz w:val="19"/>
        </w:rPr>
        <w:t>Deutschland und europäische Systeme, international konsentiertes Vorgehen</w:t>
      </w:r>
    </w:p>
    <w:p>
      <w:r>
        <w:rPr>
          <w:color w:val="5A7D3A"/>
          <w:sz w:val="18"/>
        </w:rPr>
        <w:t>https://pubmed.ncbi.nlm.nih.gov/42826360/</w:t>
      </w:r>
    </w:p>
    <w:p>
      <w:pPr>
        <w:pStyle w:val="Heading2"/>
      </w:pPr>
      <w:r>
        <w:t>Pembrolizumab-GVD plus Stammzelltransplantation bei rezidiviertem Hodgkin-Lymphom: 5-Jahres-Follow-up</w:t>
      </w:r>
    </w:p>
    <w:p>
      <w:r>
        <w:rPr>
          <w:i/>
          <w:color w:val="666666"/>
          <w:sz w:val="18"/>
        </w:rPr>
        <w:t>Patel K et al.  ·  Blood  ·  08.09.2026  ·  PMID 42825495</w:t>
      </w:r>
    </w:p>
    <w:p>
      <w:r>
        <w:t>Phase-2-Studie bei transplantationsgeeigneten Patienten mit rezidiviertem/refraktärem Hodgkin-Lymphom: Pembrolizumab plus Gemcitabin/Vinorelbine/liposomales Doxorubicin gefolgt von Hochdosis-Chemotherapie mit autologer Stammzellrescue.</w:t>
      </w:r>
    </w:p>
    <w:p>
      <w:r>
        <w:rPr>
          <w:b/>
        </w:rPr>
        <w:t xml:space="preserve">Ergebnis: </w:t>
      </w:r>
      <w:r>
        <w:t>Komplettremissionsrate 95% nach bis zu 4 Zyklen Pembrolizumab-GVD. Nach Median 57 Monaten: geschätzte 5-Jahres-PFS 91%, Gesamtüberleben 94%. Nur 1 Rezidiv nach Protokoll-Therapie, 2 therapieassoziierte Todesfälle. Keine neuen Sicherheitssignale.</w:t>
      </w:r>
    </w:p>
    <w:p>
      <w:r>
        <w:rPr>
          <w:b/>
          <w:sz w:val="19"/>
        </w:rPr>
        <w:t xml:space="preserve">Übertragbarkeit: </w:t>
      </w:r>
      <w:r>
        <w:rPr>
          <w:sz w:val="19"/>
        </w:rPr>
        <w:t>USA-basiert, aber intensive Chemotherapie + Immuntherapie + Transplantation ist in deutschen Zentren etabliert</w:t>
      </w:r>
    </w:p>
    <w:p>
      <w:r>
        <w:rPr>
          <w:color w:val="5A7D3A"/>
          <w:sz w:val="18"/>
        </w:rPr>
        <w:t>https://pubmed.ncbi.nlm.nih.gov/42825495/</w:t>
      </w:r>
    </w:p>
    <w:p>
      <w:pPr>
        <w:pStyle w:val="Heading2"/>
      </w:pPr>
      <w:r>
        <w:t>Tuberkulose-Netzwerk als Werkzeug für frühe Lungenkrebserkennung: Modell Brasilien</w:t>
      </w:r>
    </w:p>
    <w:p>
      <w:r>
        <w:rPr>
          <w:i/>
          <w:color w:val="666666"/>
          <w:sz w:val="18"/>
        </w:rPr>
        <w:t>Gruber K  ·  Lancet Oncol  ·  01.10.2026  ·  PMID 42822486</w:t>
      </w:r>
    </w:p>
    <w:p>
      <w:r>
        <w:t>Bericht über das Potenzial, bestehende Tuberkulose-Überwachungssysteme in Brasilien für die Frühdiagnose von Lungenkrebs zu nutzen.</w:t>
      </w:r>
    </w:p>
    <w:p>
      <w:r>
        <w:rPr>
          <w:b/>
        </w:rPr>
        <w:t xml:space="preserve">Ergebnis: </w:t>
      </w:r>
      <w:r>
        <w:t>TB-Netzwerk mit etablierten Screening- und Diagnostik-Strukturen könnte Lungenkrebserkennung beschleunigen; bisherige Aktivitäten und Barrieren werden erörtert, ohne quantitative Endpunkte.</w:t>
      </w:r>
    </w:p>
    <w:p>
      <w:r>
        <w:rPr>
          <w:b/>
          <w:sz w:val="19"/>
        </w:rPr>
        <w:t xml:space="preserve">Übertragbarkeit: </w:t>
      </w:r>
      <w:r>
        <w:rPr>
          <w:sz w:val="19"/>
        </w:rPr>
        <w:t>Niedrig-Ressourcen-Länder, für Deutschland ohne unmittelbare Anwendung</w:t>
      </w:r>
    </w:p>
    <w:p>
      <w:r>
        <w:rPr>
          <w:color w:val="5A7D3A"/>
          <w:sz w:val="18"/>
        </w:rPr>
        <w:t>https://pubmed.ncbi.nlm.nih.gov/42822486/</w:t>
      </w:r>
    </w:p>
    <w:p>
      <w:pPr>
        <w:pStyle w:val="Heading2"/>
      </w:pPr>
      <w:r>
        <w:t>Androgen-Rezeptor-Inhibitoren bessern PFS bei metastasiertem hormonsensitivem Prostatakarzinom</w:t>
      </w:r>
    </w:p>
    <w:p>
      <w:r>
        <w:rPr>
          <w:i/>
          <w:color w:val="666666"/>
          <w:sz w:val="18"/>
        </w:rPr>
        <w:t>Nwogu IB et al.  ·  JCO Oncol Pract  ·  01.10.2026  ·  PMID 42821836</w:t>
      </w:r>
    </w:p>
    <w:p>
      <w:r>
        <w:t>Real-World-Vergleichsstudie von Abiraterone, Apalutamide, Enzalutamide und Docetaxel je mit ADT bei metastasiertem hormonsensitivem Prostatakarzinom (mHSPC) in den USA 2019–2023.</w:t>
      </w:r>
    </w:p>
    <w:p>
      <w:r>
        <w:rPr>
          <w:b/>
        </w:rPr>
        <w:t xml:space="preserve">Ergebnis: </w:t>
      </w:r>
      <w:r>
        <w:t>Unter 9.141 Männern: ARPI-Dubletten zeigten gegenüber Docetaxel-Dubletten überlegene PFS (Abiraterone: aHR 0,60 [95% CI 0,55–0,66]; Apalutamide: aHR 0,64; Enzalutamide: aHR 0,57). Gesamtüberleben vergleichbar. TTP und Zeit bis neue Therapie ebenfalls besser unter ARPIs. Keine Unterschiede zwischen den ARPIs.</w:t>
      </w:r>
    </w:p>
    <w:p>
      <w:r>
        <w:rPr>
          <w:b/>
          <w:sz w:val="19"/>
        </w:rPr>
        <w:t xml:space="preserve">Übertragbarkeit: </w:t>
      </w:r>
      <w:r>
        <w:rPr>
          <w:sz w:val="19"/>
        </w:rPr>
        <w:t>USA-Gesundheitssystem mit unterschiedlicher Finanzierung, Ergebnis (ARPI-Überlegenheit) ist aber geräteunabhängig übertragbar</w:t>
      </w:r>
    </w:p>
    <w:p>
      <w:r>
        <w:rPr>
          <w:color w:val="5A7D3A"/>
          <w:sz w:val="18"/>
        </w:rPr>
        <w:t>https://pubmed.ncbi.nlm.nih.gov/42821836/</w:t>
      </w:r>
    </w:p>
    <w:p>
      <w:pPr>
        <w:pStyle w:val="Heading2"/>
      </w:pPr>
      <w:r>
        <w:t>Platinchemoresistentes Ovarialkarzinom: Behandlungsintensivierung verbessert Remissionsraten</w:t>
      </w:r>
    </w:p>
    <w:p>
      <w:r>
        <w:rPr>
          <w:i/>
          <w:color w:val="666666"/>
          <w:sz w:val="18"/>
        </w:rPr>
        <w:t>You B et al.  ·  JAMA Oncol  ·  01.10.2026  ·  PMID 42821287</w:t>
      </w:r>
    </w:p>
    <w:p>
      <w:r>
        <w:t>Systematische Übersicht über Strategien zur Chemosensitivierung bei schlecht chemosensitivem fortgeschrittenem serösen Ovarialkarzinom anhand von retrospektiven Post-hoc-Analysen prospektiver Phase-3-Studien.</w:t>
      </w:r>
    </w:p>
    <w:p>
      <w:r>
        <w:rPr>
          <w:b/>
        </w:rPr>
        <w:t xml:space="preserve">Ergebnis: </w:t>
      </w:r>
      <w:r>
        <w:t>Wöchentlich dosiertes Paclitaxel zeigte in der "2 red flags"-Subgruppe (schlechte Chemosensitivität) der ICON-8-Studie verbesserte Überlebensergebnisse. Bevacizumab addiert zu neoadjuvanter Chemotherapie oder Standardchemotherapie: Überlebenssignale in hochrisiko- und schlecht chemosensitiven Subgruppen. Phase-3-Studien SALVOVAR und Phase-1/2-Studie RegeNovar laufen prospektiv.</w:t>
      </w:r>
    </w:p>
    <w:p>
      <w:r>
        <w:rPr>
          <w:b/>
          <w:sz w:val="19"/>
        </w:rPr>
        <w:t xml:space="preserve">Übertragbarkeit: </w:t>
      </w:r>
      <w:r>
        <w:rPr>
          <w:sz w:val="19"/>
        </w:rPr>
        <w:t>Europäische Studienstandorte und ESMO-Guidelines, Therapiesequenzierung in deutschen Tumorzentren relevant</w:t>
      </w:r>
    </w:p>
    <w:p>
      <w:r>
        <w:rPr>
          <w:color w:val="5A7D3A"/>
          <w:sz w:val="18"/>
        </w:rPr>
        <w:t>https://pubmed.ncbi.nlm.nih.gov/42821287/</w:t>
      </w:r>
    </w:p>
    <w:p>
      <w:pPr>
        <w:pStyle w:val="Heading2"/>
      </w:pPr>
      <w:r>
        <w:t>Genomische Instabilität treibt gegensätzliche Immunantworten: Mechanismus für Immuntherapie-Resistenz</w:t>
      </w:r>
    </w:p>
    <w:p>
      <w:r>
        <w:rPr>
          <w:i/>
          <w:color w:val="666666"/>
          <w:sz w:val="18"/>
        </w:rPr>
        <w:t>Alouani E et al.  ·  Cancer Discov  ·  01.10.2026  ·  PMID 42817715</w:t>
      </w:r>
    </w:p>
    <w:p>
      <w:r>
        <w:t>Übersichtsarbeit zu zwei Formen genomischer Instabilität: Mutationsinstabilität versus Chromosomeninstabilität und deren gegensätzliche Effekte auf Tumor-Immunität.</w:t>
      </w:r>
    </w:p>
    <w:p>
      <w:r>
        <w:rPr>
          <w:b/>
        </w:rPr>
        <w:t xml:space="preserve">Ergebnis: </w:t>
      </w:r>
      <w:r>
        <w:t>Hypermutierte Tumoren generieren Neoantigene und sind sensibel für Checkpoint-Blockade. Chromosomeninstabilität triggert chronische angeborene Immunaktivierung mit Immunsuppression durch Myeloid- und T-Zell-Dysfunktion. Diese gegensätzlichen Mechanismen erfordern unterschiedliche Immuntherapie-Strategien.</w:t>
      </w:r>
    </w:p>
    <w:p>
      <w:r>
        <w:rPr>
          <w:b/>
          <w:sz w:val="19"/>
        </w:rPr>
        <w:t xml:space="preserve">Übertragbarkeit: </w:t>
      </w:r>
      <w:r>
        <w:rPr>
          <w:sz w:val="19"/>
        </w:rPr>
        <w:t>Grundlagenarbeit zur Immuntherapie-Resistenz, Basis für Stratifizierungsansätze in der Praxis</w:t>
      </w:r>
    </w:p>
    <w:p>
      <w:r>
        <w:rPr>
          <w:color w:val="5A7D3A"/>
          <w:sz w:val="18"/>
        </w:rPr>
        <w:t>https://pubmed.ncbi.nlm.nih.gov/42817715/</w:t>
      </w:r>
    </w:p>
    <w:p>
      <w:pPr>
        <w:pStyle w:val="Heading1"/>
      </w:pPr>
      <w:r>
        <w:t>Aufgenommen am 02.10.2026</w:t>
      </w:r>
    </w:p>
    <w:p>
      <w:pPr>
        <w:pStyle w:val="Heading2"/>
      </w:pPr>
      <w:r>
        <w:t>Stereotaktische MRT-gesteuerte adaptive Strahlentherapie verbessert Lokalkontrolle bei fortgeschrittenem Pankreaskarzinom</w:t>
      </w:r>
    </w:p>
    <w:p>
      <w:r>
        <w:rPr>
          <w:i/>
          <w:color w:val="666666"/>
          <w:sz w:val="18"/>
        </w:rPr>
        <w:t>Hartfelt PB et al.  ·  Radiother Oncol  ·  01.10.2026  ·  PMID 42822782</w:t>
      </w:r>
    </w:p>
    <w:p>
      <w:r>
        <w:t>Prospektive Studie zur MRT-gesteuerten adaptiven Strahlentherapie (SMART) bei 118 Patienten mit lokal fortgeschrittenem Pankreaskarzinom (50 Gy/5 Fraktionen).</w:t>
      </w:r>
    </w:p>
    <w:p>
      <w:r>
        <w:rPr>
          <w:b/>
        </w:rPr>
        <w:t xml:space="preserve">Ergebnis: </w:t>
      </w:r>
      <w:r>
        <w:t>Medianes Gesamtüberleben 13,2 Monate ab Therapiestart (95%-CI 10,4–15,9), 2-Jahres-Überleben 23,9%. Lokale Progression bei 15,0% nach 1 Jahr und 22,2% nach 2 Jahren. Akute Grad-≥III-Toxizität bei 5,4%, späte bei 3,2%. Fernprogression war dominantes Versagensmus ter.</w:t>
      </w:r>
    </w:p>
    <w:p>
      <w:r>
        <w:rPr>
          <w:b/>
          <w:sz w:val="19"/>
        </w:rPr>
        <w:t xml:space="preserve">Übertragbarkeit: </w:t>
      </w:r>
      <w:r>
        <w:rPr>
          <w:sz w:val="19"/>
        </w:rPr>
        <w:t>Dänemark (Odense), vergleichbares europäisches Gesundheitssystem, Technologie in deutschen Zentren verfügbar.</w:t>
      </w:r>
    </w:p>
    <w:p>
      <w:r>
        <w:rPr>
          <w:color w:val="5A7D3A"/>
          <w:sz w:val="18"/>
        </w:rPr>
        <w:t>https://pubmed.ncbi.nlm.nih.gov/42822782/</w:t>
      </w:r>
    </w:p>
    <w:p>
      <w:pPr>
        <w:pStyle w:val="Heading2"/>
      </w:pPr>
      <w:r>
        <w:t>Hohe SMAD4-Expression prognostiziert besseres Überleben nach Pankreaskarzinom-Resektion</w:t>
      </w:r>
    </w:p>
    <w:p>
      <w:r>
        <w:rPr>
          <w:i/>
          <w:color w:val="666666"/>
          <w:sz w:val="18"/>
        </w:rPr>
        <w:t>Williams TM et al.  ·  Int J Radiat Oncol Biol Phys  ·  01.10.2026  ·  PMID 42822544</w:t>
      </w:r>
    </w:p>
    <w:p>
      <w:r>
        <w:t>Biomarker-Analyse von 141 Tumorproben aus der Phase-III-Studie RTOG 9704 zur SMAD4-Expression und Überleben nach adjuvanter Chemoradiotherapie.</w:t>
      </w:r>
    </w:p>
    <w:p>
      <w:r>
        <w:rPr>
          <w:b/>
        </w:rPr>
        <w:t xml:space="preserve">Ergebnis: </w:t>
      </w:r>
      <w:r>
        <w:t>Hohe SMAD4-Expression assoziiert mit verbessertem rezidivfreiem Überleben (HR 0,68, 95%-CI 0,48–0,97, p=0,03) und Gesamtüberleben (HR 0,69, 95%-CI 0,48–0,99, p=0,04). Fernmetastasen-Risiko gesenkt (HR 0,69, p=0,048). Multivariable Analyse bestätigte unabhängige Assoziation für rezidivfreies Überleben (HR 0,66, p=0,03) und Fernmetastasen (HR 0,68, p=0,052).</w:t>
      </w:r>
    </w:p>
    <w:p>
      <w:r>
        <w:rPr>
          <w:b/>
          <w:sz w:val="19"/>
        </w:rPr>
        <w:t xml:space="preserve">Übertragbarkeit: </w:t>
      </w:r>
      <w:r>
        <w:rPr>
          <w:sz w:val="19"/>
        </w:rPr>
        <w:t>USA, Biomarker-Definition auf deutsche Pankreaskarzinom-Patienten übertragbar, Prognose-Stratifizierung möglich.</w:t>
      </w:r>
    </w:p>
    <w:p>
      <w:r>
        <w:rPr>
          <w:color w:val="5A7D3A"/>
          <w:sz w:val="18"/>
        </w:rPr>
        <w:t>https://pubmed.ncbi.nlm.nih.gov/42822544/</w:t>
      </w:r>
    </w:p>
    <w:p>
      <w:pPr>
        <w:pStyle w:val="Heading2"/>
      </w:pPr>
      <w:r>
        <w:t>Immuntherapie vor Lebertransplantation senkt Rezidivrisiko bei Hepatozellulärkarzinom</w:t>
      </w:r>
    </w:p>
    <w:p>
      <w:r>
        <w:rPr>
          <w:i/>
          <w:color w:val="666666"/>
          <w:sz w:val="18"/>
        </w:rPr>
        <w:t>Ong M et al.  ·  JAMA Oncol  ·  01.10.2026  ·  PMID 42821267</w:t>
      </w:r>
    </w:p>
    <w:p>
      <w:r>
        <w:t>Retrospektive Matched-Cohort-Studie mit 416 Patienten zur ICI-basierten Downstaging-Therapie vor Lebertransplantation bei initial über Milan-Kriterien liegendem Hepatozellulärkarzinom in acht hochvolumigen chinesischen Transplantationszentren.</w:t>
      </w:r>
    </w:p>
    <w:p>
      <w:r>
        <w:rPr>
          <w:b/>
        </w:rPr>
        <w:t xml:space="preserve">Ergebnis: </w:t>
      </w:r>
      <w:r>
        <w:t>Medianes Gesamtüberleben 4,57 Jahre (ICI-Gruppe, 95%-CI 4,34-n.e.) vs. 2,53 Jahre (Kontrollgruppe, p&lt;0,001). Medianes rezidivfreies Überleben 1,47 Jahre vs. 0,89 Jahre (p=0,02). Postoperatives Rezidivrisiko: HR 0,54 (95%-CI 0,40–0,72). Akute Abstoßung häufiger in ICI-Gruppe (16,3% vs. 8,2%, p=0,01).</w:t>
      </w:r>
    </w:p>
    <w:p>
      <w:r>
        <w:rPr>
          <w:b/>
          <w:sz w:val="19"/>
        </w:rPr>
        <w:t xml:space="preserve">Übertragbarkeit: </w:t>
      </w:r>
      <w:r>
        <w:rPr>
          <w:sz w:val="19"/>
        </w:rPr>
        <w:t>Studiendesign auf europäische Transplantationszentren übertragbar, aber China-spezifische Organverfügbarkeit und Immunsuppression – Sicherheit vor Wirksamkeit klären.</w:t>
      </w:r>
    </w:p>
    <w:p>
      <w:r>
        <w:rPr>
          <w:color w:val="5A7D3A"/>
          <w:sz w:val="18"/>
        </w:rPr>
        <w:t>https://pubmed.ncbi.nlm.nih.gov/42821267/</w:t>
      </w:r>
    </w:p>
    <w:p>
      <w:pPr>
        <w:pStyle w:val="Heading2"/>
      </w:pPr>
      <w:r>
        <w:t>Immuntherapie in der Pädiatrie reduziert Spätfolgen-Mortalität beim Hodgkin-Lymphom</w:t>
      </w:r>
    </w:p>
    <w:p>
      <w:r>
        <w:rPr>
          <w:i/>
          <w:color w:val="666666"/>
          <w:sz w:val="18"/>
        </w:rPr>
        <w:t>Rogers JR et al.  ·  J Natl Cancer Inst  ·  01.10.2026  ·  PMID 42820770</w:t>
      </w:r>
    </w:p>
    <w:p>
      <w:r>
        <w:t>Simulationsmodell zur Lebenszeitprognose von 118 Kindern und Adoleszenten mit fortgeschrittenem Hodgkin-Lymphom unter modernen Brentuximab-vedotin- oder Nivolumab-Regimen vs. historischen Chemotherapie-Schemata.</w:t>
      </w:r>
    </w:p>
    <w:p>
      <w:r>
        <w:rPr>
          <w:b/>
        </w:rPr>
        <w:t xml:space="preserve">Ergebnis: </w:t>
      </w:r>
      <w:r>
        <w:t>Überlebensrate im Alter von 50 Jahren: 86% nach historischen und 92–93% nach modernen Immuntherapie-basierten Regimen (vs. 100% in Allgemeinbevölkerung). Überlebensvorteil persistiert, solange immuntherapie-assoziierte Spätsterblichkeit unter ca. 8% bleibt. Modell suggeriert Reduktion der Spätfolge-Last trotz Überlebensvorteil.</w:t>
      </w:r>
    </w:p>
    <w:p>
      <w:r>
        <w:rPr>
          <w:b/>
          <w:sz w:val="19"/>
        </w:rPr>
        <w:t xml:space="preserve">Übertragbarkeit: </w:t>
      </w:r>
      <w:r>
        <w:rPr>
          <w:sz w:val="19"/>
        </w:rPr>
        <w:t>USA-basiert, aber Endpunkt (Langzeitüberleben, Spätfolgen) tumorentitäts- und systemunabhängig.</w:t>
      </w:r>
    </w:p>
    <w:p>
      <w:r>
        <w:rPr>
          <w:color w:val="5A7D3A"/>
          <w:sz w:val="18"/>
        </w:rPr>
        <w:t>https://pubmed.ncbi.nlm.nih.gov/42820770/</w:t>
      </w:r>
    </w:p>
    <w:p>
      <w:pPr>
        <w:pStyle w:val="Heading2"/>
      </w:pPr>
      <w:r>
        <w:t>Onkolytisches Adenovirus mit Hyaluronidase verbessert Überleben bei metastasiertem Pankreaskarzinom</w:t>
      </w:r>
    </w:p>
    <w:p>
      <w:r>
        <w:rPr>
          <w:i/>
          <w:color w:val="666666"/>
          <w:sz w:val="18"/>
        </w:rPr>
        <w:t>Garcia-Carbonero R et al.  ·  Nat Med  ·  30.09.2026  ·  PMID 42816596</w:t>
      </w:r>
    </w:p>
    <w:p>
      <w:r>
        <w:t>Randomisierte Phase-2b-Studie mit 101 Patienten (53 VCN-01+Gemcitabin/nab-Paclitaxel, 48 Chemotherapie allein) zur First-Line-Therapie des metastasierten Pankreaskarzinoms.</w:t>
      </w:r>
    </w:p>
    <w:p>
      <w:r>
        <w:rPr>
          <w:b/>
        </w:rPr>
        <w:t xml:space="preserve">Ergebnis: </w:t>
      </w:r>
      <w:r>
        <w:t>Medianes Gesamtüberleben in Full-Analysis-Set: 10,8 Monate (VCN-01-Gruppe) vs. 8,6 Monate (Kontrolle; HR 0,57, 95%-CI 0,34–0,96, p=0,055). Progressionsfreies Überleben 7,0 vs. 4,6 Monate (HR 0,55, p=0,011). 15-Monats-Überleben 35,5% vs. 12,8%, 18-Monats-Überleben 31,1% vs. 8,5%. Ansprechdauer 11,2 vs. 5,4 Monate (p=0,004).</w:t>
      </w:r>
    </w:p>
    <w:p>
      <w:r>
        <w:rPr>
          <w:b/>
          <w:sz w:val="19"/>
        </w:rPr>
        <w:t xml:space="preserve">Übertragbarkeit: </w:t>
      </w:r>
      <w:r>
        <w:rPr>
          <w:sz w:val="19"/>
        </w:rPr>
        <w:t>Spanien und USA, Zulassung in Phase-3 ausstehend – Transfer zu AMNOG-Bewertung notwendig.</w:t>
      </w:r>
    </w:p>
    <w:p>
      <w:r>
        <w:rPr>
          <w:color w:val="5A7D3A"/>
          <w:sz w:val="18"/>
        </w:rPr>
        <w:t>https://pubmed.ncbi.nlm.nih.gov/42816596/</w:t>
      </w:r>
    </w:p>
    <w:p>
      <w:pPr>
        <w:pStyle w:val="Heading1"/>
      </w:pPr>
      <w:r>
        <w:t>Aufgenommen am 01.10.2026</w:t>
      </w:r>
    </w:p>
    <w:p>
      <w:pPr>
        <w:pStyle w:val="Heading2"/>
      </w:pPr>
      <w:r>
        <w:t>Strahlentherapie mit Antikörper-Wirkstoff-Konjugaten bei Brustkrebs: Sicherheit belegt</w:t>
      </w:r>
    </w:p>
    <w:p>
      <w:r>
        <w:rPr>
          <w:i/>
          <w:color w:val="666666"/>
          <w:sz w:val="18"/>
        </w:rPr>
        <w:t>Visani L et al.  ·  Radiother Oncol  ·  30.09.2026  ·  PMID 42815776</w:t>
      </w:r>
    </w:p>
    <w:p>
      <w:r>
        <w:t>Systematische Übersicht mit Metaanalyse von 29 Studien (3.817 Patienten) zur Verträglichkeit kombinierter Radiotherapie und Antikörper-Wirkstoff-Konjugaten bei frühem und metastasiertem Brustkrebs.</w:t>
      </w:r>
    </w:p>
    <w:p>
      <w:r>
        <w:rPr>
          <w:b/>
        </w:rPr>
        <w:t xml:space="preserve">Ergebnis: </w:t>
      </w:r>
      <w:r>
        <w:t>Schwere Strahlengewebsnekrose trat in 5% der Fälle auf (95%-KI: 1–12%). Bei intracranialer Stereotaxie waren 8% der Ereignisse ≥Grad 3 (95%-KI: 3–15%), mit T-DM1 13% (95%-KI: 1–34%). Pneumonitis und Hautreaktionen ≥Grad 3 waren selten (je 0%). Außerhalb des Schädels ist die Therapiekombination sicher; intracraniell, besonders mit T-DM1, ist Vorsicht geboten.</w:t>
      </w:r>
    </w:p>
    <w:p>
      <w:r>
        <w:rPr>
          <w:b/>
          <w:sz w:val="19"/>
        </w:rPr>
        <w:t xml:space="preserve">Übertragbarkeit: </w:t>
      </w:r>
      <w:r>
        <w:rPr>
          <w:sz w:val="19"/>
        </w:rPr>
        <w:t>Europa, internationale Konsensusgruppe; übertragbar auf deutsche Zentren.</w:t>
      </w:r>
    </w:p>
    <w:p>
      <w:r>
        <w:rPr>
          <w:color w:val="5A7D3A"/>
          <w:sz w:val="18"/>
        </w:rPr>
        <w:t>https://pubmed.ncbi.nlm.nih.gov/42815776/</w:t>
      </w:r>
    </w:p>
    <w:p>
      <w:pPr>
        <w:pStyle w:val="Heading2"/>
      </w:pPr>
      <w:r>
        <w:t>Erdafitinib verlängert Überleben bei FGFR-verändertem Urothelkarzinom deutlich</w:t>
      </w:r>
    </w:p>
    <w:p>
      <w:r>
        <w:rPr>
          <w:i/>
          <w:color w:val="666666"/>
          <w:sz w:val="18"/>
        </w:rPr>
        <w:t>Loriot Y et al.  ·  ESMO Open  ·  30.09.2026  ·  PMID 42815410</w:t>
      </w:r>
    </w:p>
    <w:p>
      <w:r>
        <w:t>Phase-III-Studie THOR mit 278 Patienten mit FGFR3/2-alteriertem metastasiertem Urothelkarzinom nach PD-(L)1-Progression: Erdafitinib gegen Chemotherapie (Docetaxel/Vinflunin).</w:t>
      </w:r>
    </w:p>
    <w:p>
      <w:r>
        <w:rPr>
          <w:b/>
        </w:rPr>
        <w:t xml:space="preserve">Ergebnis: </w:t>
      </w:r>
      <w:r>
        <w:t>Medianes Gesamtüberleben: 12,1 vs. 8,7 Monate (HR 0,65; 95%-KI 0,48–0,86; p=0,0031). Progressionsfreies Überleben: 5,4 vs. 2,7 Monate (HR 0,59; p&lt;0,0001). Ansprechrate: 46,9% vs. 12,6% (RR 3,74). Schwere Nebenwirkungen 67,6% vs. 65,8%; therapieassoziierte Todesfälle 0,7% vs. 6,0%.</w:t>
      </w:r>
    </w:p>
    <w:p>
      <w:r>
        <w:rPr>
          <w:b/>
          <w:sz w:val="19"/>
        </w:rPr>
        <w:t xml:space="preserve">Übertragbarkeit: </w:t>
      </w:r>
      <w:r>
        <w:rPr>
          <w:sz w:val="19"/>
        </w:rPr>
        <w:t>Internationale Studie; Zulassung relevant für Deutschland.</w:t>
      </w:r>
    </w:p>
    <w:p>
      <w:r>
        <w:rPr>
          <w:color w:val="5A7D3A"/>
          <w:sz w:val="18"/>
        </w:rPr>
        <w:t>https://pubmed.ncbi.nlm.nih.gov/42815410/</w:t>
      </w:r>
    </w:p>
    <w:p>
      <w:pPr>
        <w:pStyle w:val="Heading2"/>
      </w:pPr>
      <w:r>
        <w:t>Verzögerte Übelkeit unter moderater Chemoemesis-Gefährdung: Untererfassung über 120 Stunden hinaus</w:t>
      </w:r>
    </w:p>
    <w:p>
      <w:r>
        <w:rPr>
          <w:i/>
          <w:color w:val="666666"/>
          <w:sz w:val="18"/>
        </w:rPr>
        <w:t>Iimura Y et al.  ·  ESMO Open  ·  30.09.2026  ·  PMID 42815409</w:t>
      </w:r>
    </w:p>
    <w:p>
      <w:r>
        <w:t>Scoping Review systematischer Erfassung verzögerter chemotherapieassoziierter Übelkeit/Erbrechen (&gt;120 h) in 26 prospektiven Antiemetika-Studien (15 Phase III, 11 Phase II).</w:t>
      </w:r>
    </w:p>
    <w:p>
      <w:r>
        <w:rPr>
          <w:b/>
        </w:rPr>
        <w:t xml:space="preserve">Ergebnis: </w:t>
      </w:r>
      <w:r>
        <w:t>80,8% der Studien beschränkten Erfassung auf konventionelle 24–120 h. Komplette Remissionsquoten fielen von 71% in der Standardphase auf 62% in der Langzeitphase (&gt;120 h). Neurokinin-1-Antagonisten und ältere Patienten zeigten bessere Raten, höherer Frauenanteil schlechtere. Verlängerung der Erfassung wird empfohlen.</w:t>
      </w:r>
    </w:p>
    <w:p>
      <w:r>
        <w:rPr>
          <w:b/>
          <w:sz w:val="19"/>
        </w:rPr>
        <w:t xml:space="preserve">Übertragbarkeit: </w:t>
      </w:r>
      <w:r>
        <w:rPr>
          <w:sz w:val="19"/>
        </w:rPr>
        <w:t>Multizentrisch mit deutschen Autoren; Versorgungsforschungsfrage.</w:t>
      </w:r>
    </w:p>
    <w:p>
      <w:r>
        <w:rPr>
          <w:color w:val="5A7D3A"/>
          <w:sz w:val="18"/>
        </w:rPr>
        <w:t>https://pubmed.ncbi.nlm.nih.gov/42815409/</w:t>
      </w:r>
    </w:p>
    <w:p>
      <w:pPr>
        <w:pStyle w:val="Heading2"/>
      </w:pPr>
      <w:r>
        <w:t>Abemaciclib plus endokrine Therapie bei HR-positivem Brustkrebs: Nutzen über Lymphknoten-Subgruppen konsistent</w:t>
      </w:r>
    </w:p>
    <w:p>
      <w:r>
        <w:rPr>
          <w:i/>
          <w:color w:val="666666"/>
          <w:sz w:val="18"/>
        </w:rPr>
        <w:t>Cortes J et al.  ·  ESMO Open  ·  30.09.2026  ·  PMID 42815408</w:t>
      </w:r>
    </w:p>
    <w:p>
      <w:r>
        <w:t>Nachfolgeanalyse monarchE-Studie, Kohort 1 (91% der Gesamtpopulation): Abemaciclib + endokrine Therapie über 2 Jahre bei knoten-positiven Hochrisiko-Patienten mit HR-positivem, HER2-negativem frühem Brustkrebs nach medianer Nachbeobachtung 76,8 Monate.</w:t>
      </w:r>
    </w:p>
    <w:p>
      <w:r>
        <w:rPr>
          <w:b/>
        </w:rPr>
        <w:t xml:space="preserve">Ergebnis: </w:t>
      </w:r>
      <w:r>
        <w:t>Konsistent anhaltender Rückgang des Rezidivrisikos (invasives krankheitsfreies Überleben) und fernmetastasenfreies Überleben über alle Lymphknoten-Subgruppen (N1-Hochrisiko, N2, N3). Ähnliches Rezidivrisiko zwischen N1-Hochrisiko (68,6% Grad 3) und N2; Nutzen in allen Subgruppen bestätigt.</w:t>
      </w:r>
    </w:p>
    <w:p>
      <w:r>
        <w:rPr>
          <w:b/>
          <w:sz w:val="19"/>
        </w:rPr>
        <w:t xml:space="preserve">Übertragbarkeit: </w:t>
      </w:r>
      <w:r>
        <w:rPr>
          <w:sz w:val="19"/>
        </w:rPr>
        <w:t>Zulassungsrelevante Phase-III-Studie; Zentrenstandard.</w:t>
      </w:r>
    </w:p>
    <w:p>
      <w:r>
        <w:rPr>
          <w:color w:val="5A7D3A"/>
          <w:sz w:val="18"/>
        </w:rPr>
        <w:t>https://pubmed.ncbi.nlm.nih.gov/42815408/</w:t>
      </w:r>
    </w:p>
    <w:p>
      <w:pPr>
        <w:pStyle w:val="Heading2"/>
      </w:pPr>
      <w:r>
        <w:t>Giredestrant + Everolimus verdoppelt progressionsfreies Überleben bei HR+/HER2- metastasiertem Brustkrebs</w:t>
      </w:r>
    </w:p>
    <w:p>
      <w:r>
        <w:rPr>
          <w:i/>
          <w:color w:val="666666"/>
          <w:sz w:val="18"/>
        </w:rPr>
        <w:t>Mayer EL et al.  ·  N Engl J Med  ·  01.10.2026  ·  PMID 42814929</w:t>
      </w:r>
    </w:p>
    <w:p>
      <w:r>
        <w:t>Phase-III-Studie evERA mit 373 Patienten HR-positiv/HER2-negativ fortgeschrittenem Brustkrebs nach CDK4/6-Inhibitor-Versagen: Giredestrant + Everolimus vs. Standard endokrine Therapie + Everolimus.</w:t>
      </w:r>
    </w:p>
    <w:p>
      <w:r>
        <w:rPr>
          <w:b/>
        </w:rPr>
        <w:t xml:space="preserve">Ergebnis: </w:t>
      </w:r>
      <w:r>
        <w:t>Medianes progressionsfreies Überleben gesamt: 8,8 vs. 5,5 Monate (HR 0,56; 95%-KI 0,44–0,71; p&lt;0,001). Bei ESR1-mutiert (n=207): 10,0 vs. 5,5 Monate (HR 0,38; 95%-KI 0,27–0,54). Nebenwirkungsraten ähnlich: Stomatitis 47,3% vs. 48,9%, Diarrhö 26,9% vs. 22,6%, Anämie 23,6% vs. 21,0%.</w:t>
      </w:r>
    </w:p>
    <w:p>
      <w:r>
        <w:rPr>
          <w:b/>
          <w:sz w:val="19"/>
        </w:rPr>
        <w:t xml:space="preserve">Übertragbarkeit: </w:t>
      </w:r>
      <w:r>
        <w:rPr>
          <w:sz w:val="19"/>
        </w:rPr>
        <w:t>Zulassungsrelevant; breites europäisches Netzwerk.</w:t>
      </w:r>
    </w:p>
    <w:p>
      <w:r>
        <w:rPr>
          <w:color w:val="5A7D3A"/>
          <w:sz w:val="18"/>
        </w:rPr>
        <w:t>https://pubmed.ncbi.nlm.nih.gov/42814929/</w:t>
      </w:r>
    </w:p>
    <w:p>
      <w:pPr>
        <w:pStyle w:val="Heading2"/>
      </w:pPr>
      <w:r>
        <w:t>Tumor-Adipozyten-Kontakt prognostiziert schlechteres Überleben beim Pankreaskarzinom unabhängig</w:t>
      </w:r>
    </w:p>
    <w:p>
      <w:r>
        <w:rPr>
          <w:i/>
          <w:color w:val="666666"/>
          <w:sz w:val="18"/>
        </w:rPr>
        <w:t>Günther M et al.  ·  Eur J Cancer  ·  16.10.2026  ·  PMID 42777382</w:t>
      </w:r>
    </w:p>
    <w:p>
      <w:r>
        <w:t>Internationale Multicenter-Studie (941 resezierte PDAC aus 5 Kohorten: München n=400, Bern n=215, Graz n=111, Erlangen n=101, TCGA n=114): Direkte Tumor-Adipozyten-Kontaktflächen (TAC/SARIFA) auf H&amp;E-Schnitten als prognostisches Merkmal.</w:t>
      </w:r>
    </w:p>
    <w:p>
      <w:r>
        <w:rPr>
          <w:b/>
        </w:rPr>
        <w:t xml:space="preserve">Ergebnis: </w:t>
      </w:r>
      <w:r>
        <w:t>TAC/SARIFA in 53% positiv, Cohen's Kappa 0,71 (Interobserver-Agreement). TAC+ assoziiert mit höherem N-Stadium, höherem Grad, älteren Patienten (alle p&lt;0,01). Medianes Gesamtüberleben 14,1 vs. 28,0 Monate (p&lt;0,001); unabhängiger Prognosefaktor (gepoolte HR 1,84; 95%-KI 1,59–2,14; p&lt;0,001). Geschlechtsspezifischer Effekt: HR 2,46 bei Männern vs. 1,50 bei Frauen.</w:t>
      </w:r>
    </w:p>
    <w:p>
      <w:r>
        <w:rPr>
          <w:b/>
          <w:sz w:val="19"/>
        </w:rPr>
        <w:t xml:space="preserve">Übertragbarkeit: </w:t>
      </w:r>
      <w:r>
        <w:rPr>
          <w:sz w:val="19"/>
        </w:rPr>
        <w:t>Deutschsprachige Klinikdaten, vergleichbare Dokumentation; Routine-H&amp;E-Slides.</w:t>
      </w:r>
    </w:p>
    <w:p>
      <w:r>
        <w:rPr>
          <w:color w:val="5A7D3A"/>
          <w:sz w:val="18"/>
        </w:rPr>
        <w:t>https://pubmed.ncbi.nlm.nih.gov/42777382/</w:t>
      </w:r>
    </w:p>
    <w:p>
      <w:pPr>
        <w:pStyle w:val="Heading2"/>
      </w:pPr>
      <w:r>
        <w:t>Futibatinib nach nicht-kovalenten FGFR-Inhibitoren bei FGFR2-verändertem Gallengangskarzinom wirksam</w:t>
      </w:r>
    </w:p>
    <w:p>
      <w:r>
        <w:rPr>
          <w:i/>
          <w:color w:val="666666"/>
          <w:sz w:val="18"/>
        </w:rPr>
        <w:t>Casalino S et al.  ·  Eur J Cancer  ·  16.10.2026  ·  PMID 42731348</w:t>
      </w:r>
    </w:p>
    <w:p>
      <w:r>
        <w:t>Retrospektive europäische Multicenter-Studie (3 Zentren) an 16 Patienten mit FGFR2-rearrangiertem intrahepatischem Cholangiokarziom: Futibatinib nach Progression unter nicht-kovalenten FGFR-Inhibitoren.</w:t>
      </w:r>
    </w:p>
    <w:p>
      <w:r>
        <w:rPr>
          <w:b/>
        </w:rPr>
        <w:t xml:space="preserve">Ergebnis: </w:t>
      </w:r>
      <w:r>
        <w:t>Medianes PFS unter nicht-kovalenten Inhibitoren: 10,2 Monate (95%-KI 7,0–15,5), Ansprechrate 60,0%. Mit Futibatinib (Viertlinien-Median): ORR 31,3%, Kontrolle 50,0%, medianes PFS 4,5 Monate (95%-KI 2,0–9,1), medianes OS 9,9 Monate (95%-KI 5,7–nicht erreicht). FGFR2-Resistenzmutationen in 100% (n=11), polyklonal 45,5%. Effizienz unabhängig von Anzahl Resistenzmutationen.</w:t>
      </w:r>
    </w:p>
    <w:p>
      <w:r>
        <w:rPr>
          <w:b/>
          <w:sz w:val="19"/>
        </w:rPr>
        <w:t xml:space="preserve">Übertragbarkeit: </w:t>
      </w:r>
      <w:r>
        <w:rPr>
          <w:sz w:val="19"/>
        </w:rPr>
        <w:t>Deutschland und italienische/britische Zentren; Mechanismus-Beweis für kovalente Nachfolgetherapie.</w:t>
      </w:r>
    </w:p>
    <w:p>
      <w:r>
        <w:rPr>
          <w:color w:val="5A7D3A"/>
          <w:sz w:val="18"/>
        </w:rPr>
        <w:t>https://pubmed.ncbi.nlm.nih.gov/42731348/</w:t>
      </w:r>
    </w:p>
    <w:p>
      <w:pPr>
        <w:pStyle w:val="Heading1"/>
      </w:pPr>
      <w:r>
        <w:t>Aufgenommen am 30.09.2026</w:t>
      </w:r>
    </w:p>
    <w:p>
      <w:pPr>
        <w:pStyle w:val="Heading2"/>
      </w:pPr>
      <w:r>
        <w:t>Bewegungsintervention verbessert Aufmerksamkeit bei Brustkrebsüberlebenden.</w:t>
      </w:r>
    </w:p>
    <w:p>
      <w:r>
        <w:rPr>
          <w:i/>
          <w:color w:val="666666"/>
          <w:sz w:val="18"/>
        </w:rPr>
        <w:t>Hartman SJ et al.  ·  J Natl Cancer Inst  ·  30.09.2026  ·  PMID 42810736</w:t>
      </w:r>
    </w:p>
    <w:p>
      <w:r>
        <w:t>Randomisierte kontrollierte Studie mit 253 Brustkrebsüberlebenden: 12 Monate ferngesteuerte Bewegungsintervention vs. Kontakt-gematchte Health-&amp;-Wellness-Kontrolle auf Kognition und körperliche Aktivität.</w:t>
      </w:r>
    </w:p>
    <w:p>
      <w:r>
        <w:rPr>
          <w:b/>
        </w:rPr>
        <w:t xml:space="preserve">Ergebnis: </w:t>
      </w:r>
      <w:r>
        <w:t>Bewegungsarm zeigte größere Zunahme an moderater bis intensiver Aktivität (18 auf 23,5 Min./Tag vs. 15 auf 15,5 Min.). Kein signifikanter Unterschied in primären Outcomes (Selbstbericht Kognition, Processing Speed, 6 und 12 Monate, p &gt; 0,05). Sekundäre Outcomes: Bewegungsarm bessere Aufmerksamkeit (6 Mo.: b = 0,14, p = 0,03; 12 Mo.: b = 0,21, p = 0,002) und kurzfristig besseres Gedächtnis (6 Mo.: b = 0,18, p &lt; 0,01).</w:t>
      </w:r>
    </w:p>
    <w:p>
      <w:r>
        <w:rPr>
          <w:b/>
          <w:sz w:val="19"/>
        </w:rPr>
        <w:t xml:space="preserve">Übertragbarkeit: </w:t>
      </w:r>
      <w:r>
        <w:rPr>
          <w:sz w:val="19"/>
        </w:rPr>
        <w:t>USA-amerikanisches Forschungssetting, aber patientenrelevanter Endpunkt und gut skalierbare Fernintervention.</w:t>
      </w:r>
    </w:p>
    <w:p>
      <w:r>
        <w:rPr>
          <w:color w:val="5A7D3A"/>
          <w:sz w:val="18"/>
        </w:rPr>
        <w:t>https://pubmed.ncbi.nlm.nih.gov/42810736/</w:t>
      </w:r>
    </w:p>
    <w:p>
      <w:pPr>
        <w:pStyle w:val="Heading2"/>
      </w:pPr>
      <w:r>
        <w:t>Bewegung verlangsamt epigenetisches Altern bei Brustkrebsüberlebenden.</w:t>
      </w:r>
    </w:p>
    <w:p>
      <w:r>
        <w:rPr>
          <w:i/>
          <w:color w:val="666666"/>
          <w:sz w:val="18"/>
        </w:rPr>
        <w:t>Carlin D et al.  ·  J Natl Cancer Inst  ·  30.09.2026  ·  PMID 42810733</w:t>
      </w:r>
    </w:p>
    <w:p>
      <w:r>
        <w:t>Sekundäranalyse einer RCT mit 124 Brustkrebsüberlebenden: Auswirkung einer 12-Monate-Bewegungsintervention auf DNA-Methylierungsmuster (epigenetische Uhren).</w:t>
      </w:r>
    </w:p>
    <w:p>
      <w:r>
        <w:rPr>
          <w:b/>
        </w:rPr>
        <w:t xml:space="preserve">Ergebnis: </w:t>
      </w:r>
      <w:r>
        <w:t>Bewegungsarm zeigte verlangsamtes epigenetisches Altern nach GrimAge2 (p = 0,02) und DNAmFitAge (p = 0,002) vs. Kontrolle über 12 Monate. Schnelleres epigenetisches Altern mit größerem kognitiven Abbau assoziiert. Genomweite Analyse: differenziell methylierte Stellen mit Anreicherung in BDNF-Signalwegen. Epigenetisches Altern als modifizierbar durch Bewegung und möglicherweise mechanistisches Bindeglied zu kognitiven Effekten.</w:t>
      </w:r>
    </w:p>
    <w:p>
      <w:r>
        <w:rPr>
          <w:b/>
          <w:sz w:val="19"/>
        </w:rPr>
        <w:t xml:space="preserve">Übertragbarkeit: </w:t>
      </w:r>
      <w:r>
        <w:rPr>
          <w:sz w:val="19"/>
        </w:rPr>
        <w:t>USA-Studie, aber biologischer Mechanismus und patientenrelevantes Outcome übertragbar.</w:t>
      </w:r>
    </w:p>
    <w:p>
      <w:r>
        <w:rPr>
          <w:color w:val="5A7D3A"/>
          <w:sz w:val="18"/>
        </w:rPr>
        <w:t>https://pubmed.ncbi.nlm.nih.gov/42810733/</w:t>
      </w:r>
    </w:p>
    <w:p>
      <w:pPr>
        <w:pStyle w:val="Heading2"/>
      </w:pPr>
      <w:r>
        <w:t>Pembrolizumab-Monotherapie beim Nierenzellkarzinom: Biomarker und Langzeitergebnisse.</w:t>
      </w:r>
    </w:p>
    <w:p>
      <w:r>
        <w:rPr>
          <w:i/>
          <w:color w:val="666666"/>
          <w:sz w:val="18"/>
        </w:rPr>
        <w:t>McDermott DF et al.  ·  Ann Oncol  ·  29.09.2026  ·  PMID 42810586</w:t>
      </w:r>
    </w:p>
    <w:p>
      <w:r>
        <w:t>Phase-II-Studie KEYNOTE-427 nach Median 61 Monaten Follow-up: Objektives Ansprechen und Prognosefaktoren für Pembrolizumab ohne Kombinationstherapie bei klarzelliger und nicht-klarzelliger RCC.</w:t>
      </w:r>
    </w:p>
    <w:p>
      <w:r>
        <w:rPr>
          <w:b/>
        </w:rPr>
        <w:t xml:space="preserve">Ergebnis: </w:t>
      </w:r>
      <w:r>
        <w:t>Objektive Ansprechrate 36,4 % (klarzelliges RCC) und 26,7 % (nicht-klarzelliges RCC). T-Zell-entzündliches Genexpressionsprofil (TcellinfGEP) assoziiert mit höherem Ansprechen (p = 0,0208 bzw. p = 0,0021). PD-L1 CPS kontinuierlich mit Gesamtüberleben korreliert (nicht-klarzelliges RCC: p = 0,0014). Patienten mit nachweisbarer ctDNA am Baseline hatten kürzeres OS (30,5 vs. 53,7 Monate). Treibermutationen zeigten keine konsistenten Muster.</w:t>
      </w:r>
    </w:p>
    <w:p>
      <w:r>
        <w:rPr>
          <w:b/>
          <w:sz w:val="19"/>
        </w:rPr>
        <w:t xml:space="preserve">Übertragbarkeit: </w:t>
      </w:r>
      <w:r>
        <w:rPr>
          <w:sz w:val="19"/>
        </w:rPr>
        <w:t>Nordamerikanische Kohorte, internationale Zentren, Biomarker-Erkenntnisse für Präzisionstherapie übertragbar.</w:t>
      </w:r>
    </w:p>
    <w:p>
      <w:r>
        <w:rPr>
          <w:color w:val="5A7D3A"/>
          <w:sz w:val="18"/>
        </w:rPr>
        <w:t>https://pubmed.ncbi.nlm.nih.gov/42810586/</w:t>
      </w:r>
    </w:p>
    <w:p>
      <w:pPr>
        <w:pStyle w:val="Heading2"/>
      </w:pPr>
      <w:r>
        <w:t>Lebensqualität in Adjuvansstudien: Neue Standards zur Berichterstattung.</w:t>
      </w:r>
    </w:p>
    <w:p>
      <w:r>
        <w:rPr>
          <w:i/>
          <w:color w:val="666666"/>
          <w:sz w:val="18"/>
        </w:rPr>
        <w:t>Tannock IF et al.  ·  Lancet Oncol  ·  29.09.2026  ·  PMID 42810369</w:t>
      </w:r>
    </w:p>
    <w:p>
      <w:r>
        <w:t>Konsensempfehlungen europäischer und kanadischer Leitlinienautoren zur Erfassung und Darstellung der gesundheitsbezogenen Lebensqualität in Publikationen von Zulassungsstudien der adjuvanten Systemtherapie.</w:t>
      </w:r>
    </w:p>
    <w:p>
      <w:r>
        <w:rPr>
          <w:b/>
        </w:rPr>
        <w:t xml:space="preserve">Ergebnis: </w:t>
      </w:r>
      <w:r>
        <w:t>Die Studienautoren empfehlen, den Anteil der Patienten mit vordefinierter Verschlechterung in validierten Lebensqualitätsskalen sowie die Dauer dieser Beeinträchtigung während und nach Therapie zu dokumentieren. Symptome, Funktionsfähigkeit und Gesamtlebensqualität sollen differenzieren zwischen Patienten mit und ohne klinisch bedeutsame Toxizität. Diese Angaben sind im Primärbericht essentiell für informed treatment decisions.</w:t>
      </w:r>
    </w:p>
    <w:p>
      <w:r>
        <w:rPr>
          <w:b/>
          <w:sz w:val="19"/>
        </w:rPr>
        <w:t xml:space="preserve">Übertragbarkeit: </w:t>
      </w:r>
      <w:r>
        <w:rPr>
          <w:sz w:val="19"/>
        </w:rPr>
        <w:t>Europäische Autorenschaft, Standard für randomisierte Therapiestudien, übertragbar auf deutsches Zulassungswesen.</w:t>
      </w:r>
    </w:p>
    <w:p>
      <w:r>
        <w:rPr>
          <w:color w:val="5A7D3A"/>
          <w:sz w:val="18"/>
        </w:rPr>
        <w:t>https://pubmed.ncbi.nlm.nih.gov/42810369/</w:t>
      </w:r>
    </w:p>
    <w:p>
      <w:pPr>
        <w:pStyle w:val="Heading2"/>
      </w:pPr>
      <w:r>
        <w:t>Pembrolizumab-Lenvatinib bei metastasiertem Endometriumkarzinom: Real-World-Wirksamkeit.</w:t>
      </w:r>
    </w:p>
    <w:p>
      <w:r>
        <w:rPr>
          <w:i/>
          <w:color w:val="666666"/>
          <w:sz w:val="18"/>
        </w:rPr>
        <w:t>Bello Roufai D et al.  ·  ESMO Open  ·  29.09.2026  ·  PMID 42810020</w:t>
      </w:r>
    </w:p>
    <w:p>
      <w:r>
        <w:t>Französisches Programm für frühzeitigen Zugang: Wirksamkeit und Sicherheit von Pembrolizumab-Lenvatinib bei 351 Patienten mit metastasiertem Endometriumkarzinom in 25 Zentren, einschließlich älterer und fragiler Patienten.</w:t>
      </w:r>
    </w:p>
    <w:p>
      <w:r>
        <w:rPr>
          <w:b/>
        </w:rPr>
        <w:t xml:space="preserve">Ergebnis: </w:t>
      </w:r>
      <w:r>
        <w:t>Medianes Progressions-freies Überleben 6,0 Monate, medianes Gesamtüberleben 21 Monate. Objektive Ansprechrate 41 %, klinischer Benefit 68 %. Mismatch-Repair-Defizienz mit verlängertem PFS assoziiert (16 vs. 6 Monate, p &lt; 0,001). 27,6 % permanentes Absetzen von Lenvatinib wegen Toxizität; reduzierte Startdosen (37,2 %) beeinträchtigten PFS nicht. Wirksam auch in realen Populationen jenseits von Studienbedingungen.</w:t>
      </w:r>
    </w:p>
    <w:p>
      <w:r>
        <w:rPr>
          <w:b/>
          <w:sz w:val="19"/>
        </w:rPr>
        <w:t xml:space="preserve">Übertragbarkeit: </w:t>
      </w:r>
      <w:r>
        <w:rPr>
          <w:sz w:val="19"/>
        </w:rPr>
        <w:t>Französisches Versicherungssystem, Zentrumserfahrung, klinische Kohorten ähnlich deutschem Patientengut.</w:t>
      </w:r>
    </w:p>
    <w:p>
      <w:r>
        <w:rPr>
          <w:color w:val="5A7D3A"/>
          <w:sz w:val="18"/>
        </w:rPr>
        <w:t>https://pubmed.ncbi.nlm.nih.gov/42810020/</w:t>
      </w:r>
    </w:p>
    <w:p>
      <w:pPr>
        <w:pStyle w:val="Heading2"/>
      </w:pPr>
      <w:r>
        <w:t>Entscheidungshilfe für Palliativbehandlung beim Pankreaskarzinom: Real-World-Implementierung.</w:t>
      </w:r>
    </w:p>
    <w:p>
      <w:r>
        <w:rPr>
          <w:i/>
          <w:color w:val="666666"/>
          <w:sz w:val="18"/>
        </w:rPr>
        <w:t>Graus MUJE et al.  ·  Oncologist  ·  29.09.2026  ·  PMID 42809229</w:t>
      </w:r>
    </w:p>
    <w:p>
      <w:r>
        <w:t>Prospektive Multizenter-Studie an 10 niederländischen Expertenzentren: Einsatz einer Shared-Decision-Making-Hilfe bei 181 Patienten mit metastasiertem Pankreaskarzinom zur Unterstützung von Therapieentscheidungen.</w:t>
      </w:r>
    </w:p>
    <w:p>
      <w:r>
        <w:rPr>
          <w:b/>
        </w:rPr>
        <w:t xml:space="preserve">Ergebnis: </w:t>
      </w:r>
      <w:r>
        <w:t>Patienten mit ausreichend Bedenkzeit verwendeten die Entscheidungshilfe häufiger (p &lt; 0,01). Mediane Bewertung durch Patienten und Kliniker: 8/10. Diskordanz zwischen Arzt- und Patientenpreferenzen in 37 % beobachtet; Unterschiede zur finalen Therapieentscheidung häufig. Struktur-unterstützte SDM-Hilfe wird hochwertig akzeptiert und kann erfolgreich implementiert werden.</w:t>
      </w:r>
    </w:p>
    <w:p>
      <w:r>
        <w:rPr>
          <w:b/>
          <w:sz w:val="19"/>
        </w:rPr>
        <w:t xml:space="preserve">Übertragbarkeit: </w:t>
      </w:r>
      <w:r>
        <w:rPr>
          <w:sz w:val="19"/>
        </w:rPr>
        <w:t>Niederländisches System, vergleichbar mit deutschem Gesundheitswesen, SDM-Verfahren direkt übertragbar.</w:t>
      </w:r>
    </w:p>
    <w:p>
      <w:r>
        <w:rPr>
          <w:color w:val="5A7D3A"/>
          <w:sz w:val="18"/>
        </w:rPr>
        <w:t>https://pubmed.ncbi.nlm.nih.gov/42809229/</w:t>
      </w:r>
    </w:p>
    <w:p>
      <w:pPr>
        <w:pStyle w:val="Heading1"/>
      </w:pPr>
      <w:r>
        <w:t>Aufgenommen am 29.09.2026</w:t>
      </w:r>
    </w:p>
    <w:p>
      <w:pPr>
        <w:pStyle w:val="Heading2"/>
      </w:pPr>
      <w:r>
        <w:t>Hypofractionierte Postmastektomie-Radiotherapie ohne Anstieg schwerer Toxizitäten</w:t>
      </w:r>
    </w:p>
    <w:p>
      <w:r>
        <w:rPr>
          <w:i/>
          <w:color w:val="666666"/>
          <w:sz w:val="18"/>
        </w:rPr>
        <w:t>Sun GY et al.  ·  Lancet Oncol  ·  Okt. 2026  ·  PMID 42805199</w:t>
      </w:r>
    </w:p>
    <w:p>
      <w:r>
        <w:t>Randomisierte Phase-3-Studie mit 10-Jahres-Nachbeobachtung von 820 Patientinnen mit hochrisiko-Brustkrebs nach Mastektomie.</w:t>
      </w:r>
    </w:p>
    <w:p>
      <w:r>
        <w:rPr>
          <w:b/>
        </w:rPr>
        <w:t xml:space="preserve">Ergebnis: </w:t>
      </w:r>
      <w:r>
        <w:t>Lokoregionales Rezidiv nach 10 Jahren: 10,3 % (konventionell) vs. 12,0 % (hypofraktioniert; Hazard Ratio 1,19; 95%-KI 0,79–1,82). Grade-3-Toxizitäten waren selten und ähnlich in beiden Gruppen (je &lt;1–2 %). Hypofraktionierung ist zeiteffizient und gleichwertig sicher.</w:t>
      </w:r>
    </w:p>
    <w:p>
      <w:r>
        <w:rPr>
          <w:b/>
          <w:sz w:val="19"/>
        </w:rPr>
        <w:t xml:space="preserve">Übertragbarkeit: </w:t>
      </w:r>
      <w:r>
        <w:rPr>
          <w:sz w:val="19"/>
        </w:rPr>
        <w:t>China, vergleichbare onkologische Versorgung; Ergebnis sollte Leitlinien beeinflussen.</w:t>
      </w:r>
    </w:p>
    <w:p>
      <w:r>
        <w:rPr>
          <w:color w:val="5A7D3A"/>
          <w:sz w:val="18"/>
        </w:rPr>
        <w:t>https://pubmed.ncbi.nlm.nih.gov/42805199/</w:t>
      </w:r>
    </w:p>
    <w:p>
      <w:pPr>
        <w:pStyle w:val="Heading2"/>
      </w:pPr>
      <w:r>
        <w:t>2,3 Millionen Krebsfälle weltweit durch Infektionen: Prävention möglich</w:t>
      </w:r>
    </w:p>
    <w:p>
      <w:r>
        <w:rPr>
          <w:i/>
          <w:color w:val="666666"/>
          <w:sz w:val="18"/>
        </w:rPr>
        <w:t>Rumgay H et al.  ·  Lancet Oncol  ·  Okt. 2026  ·  PMID 42805198</w:t>
      </w:r>
    </w:p>
    <w:p>
      <w:r>
        <w:t>Analyse der Global Cancer Observatory 2024 zu Krebslast durch 12 klassifizierten Karzinogene (H. pylori, HPV, HBV, HCV, EBV u. a.).</w:t>
      </w:r>
    </w:p>
    <w:p>
      <w:r>
        <w:rPr>
          <w:b/>
        </w:rPr>
        <w:t xml:space="preserve">Ergebnis: </w:t>
      </w:r>
      <w:r>
        <w:t>12 % aller Krebsinzidenz 2024 (2,3 Mio. Fälle) attributabel: H. pylori 760.000 (4 %), HPV 750.000 (4 %), HBV 360.000 (2 %). Höchste Lasten in Ostasien (990.000 Fälle; 31,9/100.000), Sub-Sahara-Afrika (28,5/100.000). Prävention durch Impfung, Test-and-Treat möglich.</w:t>
      </w:r>
    </w:p>
    <w:p>
      <w:r>
        <w:rPr>
          <w:b/>
          <w:sz w:val="19"/>
        </w:rPr>
        <w:t xml:space="preserve">Übertragbarkeit: </w:t>
      </w:r>
      <w:r>
        <w:rPr>
          <w:sz w:val="19"/>
        </w:rPr>
        <w:t>Global applikabel, auch für Deutschland bei Präventionsplanung relevant.</w:t>
      </w:r>
    </w:p>
    <w:p>
      <w:r>
        <w:rPr>
          <w:color w:val="5A7D3A"/>
          <w:sz w:val="18"/>
        </w:rPr>
        <w:t>https://pubmed.ncbi.nlm.nih.gov/42805198/</w:t>
      </w:r>
    </w:p>
    <w:p>
      <w:pPr>
        <w:pStyle w:val="Heading2"/>
      </w:pPr>
      <w:r>
        <w:t>Keimbahnvariantenscreening: Nutzen vs. Schaden für Population?</w:t>
      </w:r>
    </w:p>
    <w:p>
      <w:r>
        <w:rPr>
          <w:i/>
          <w:color w:val="666666"/>
          <w:sz w:val="18"/>
        </w:rPr>
        <w:t>Turnbull C et al.  ·  Lancet Oncol  ·  25.09.2026  ·  PMID 42790443</w:t>
      </w:r>
    </w:p>
    <w:p>
      <w:r>
        <w:t>Policy Review von Experten zu Expansion von Cancer-Susceptibility-Testing von Genetik-Kliniken in die Bevölkerung; Fokus auf klinische Evidenz und Health-System-Implikationen.</w:t>
      </w:r>
    </w:p>
    <w:p>
      <w:r>
        <w:rPr>
          <w:b/>
        </w:rPr>
        <w:t xml:space="preserve">Ergebnis: </w:t>
      </w:r>
      <w:r>
        <w:t>Nur für wenige Gene (BRCA1, BRCA2, MLH1, MSH2) etablierte Risiken und evidenzgestützte Interventionen. Für viele Panel-Gene: unsichere Penetranz, fehlende Mortalitätsreduktion und Kosteneffektivität. Polygene Risikoscores diskriminatorisch begrenzt, abhängig von Ethnizität. Tiered, kontextabhängiger Implementierungsansatz empfohlen.</w:t>
      </w:r>
    </w:p>
    <w:p>
      <w:r>
        <w:rPr>
          <w:b/>
          <w:sz w:val="19"/>
        </w:rPr>
        <w:t xml:space="preserve">Übertragbarkeit: </w:t>
      </w:r>
      <w:r>
        <w:rPr>
          <w:sz w:val="19"/>
        </w:rPr>
        <w:t>Direkt auf Deutschland übertragbar; könnte AMNOG-, Zertifizierungs- und Leitlinien-Entscheidungen beeinflussen.</w:t>
      </w:r>
    </w:p>
    <w:p>
      <w:r>
        <w:rPr>
          <w:color w:val="5A7D3A"/>
          <w:sz w:val="18"/>
        </w:rPr>
        <w:t>https://pubmed.ncbi.nlm.nih.gov/42790443/</w:t>
      </w:r>
    </w:p>
    <w:p>
      <w:pPr>
        <w:pStyle w:val="Heading2"/>
      </w:pPr>
      <w:r>
        <w:t>Real-World-Überleben HER2-positiver metastastischer Brustkrebs: 41,4 Monate</w:t>
      </w:r>
    </w:p>
    <w:p>
      <w:r>
        <w:rPr>
          <w:i/>
          <w:color w:val="666666"/>
          <w:sz w:val="18"/>
        </w:rPr>
        <w:t>Lee SC et al.  ·  ESMO Open  ·  25.09.2026  ·  PMID 42790263</w:t>
      </w:r>
    </w:p>
    <w:p>
      <w:r>
        <w:t>Retrospektive HER2 REAL Study aus 6 Ländern mit 763 Patienten und HER2-positivem metastasiertem Brustkrebs; Treatment Patterns und OS.</w:t>
      </w:r>
    </w:p>
    <w:p>
      <w:r>
        <w:rPr>
          <w:b/>
        </w:rPr>
        <w:t xml:space="preserve">Ergebnis: </w:t>
      </w:r>
      <w:r>
        <w:t>Mediales Gesamtüberleben: 41,4 Monate (95%-KI 38,1–45,8). Erste Linie Trastuzumab+Pertuzumab+CT: 58,1 % erhalten, medianes OS 46,8 Monate. Zweite Linie T-DM1: 45,5 %, medianes OS 23,9 Monate. Heterogenes Therapiemuster, Optimierungsbedarf identifiziert.</w:t>
      </w:r>
    </w:p>
    <w:p>
      <w:r>
        <w:rPr>
          <w:b/>
          <w:sz w:val="19"/>
        </w:rPr>
        <w:t xml:space="preserve">Übertragbarkeit: </w:t>
      </w:r>
      <w:r>
        <w:rPr>
          <w:sz w:val="19"/>
        </w:rPr>
        <w:t>6 Länder, Patientenauswahl pragmatisch, Real-World-Vergleichswert aber limitiert aussagekräftig für Deutschland.</w:t>
      </w:r>
    </w:p>
    <w:p>
      <w:r>
        <w:rPr>
          <w:color w:val="5A7D3A"/>
          <w:sz w:val="18"/>
        </w:rPr>
        <w:t>https://pubmed.ncbi.nlm.nih.gov/42790263/</w:t>
      </w:r>
    </w:p>
    <w:p>
      <w:pPr>
        <w:pStyle w:val="Heading2"/>
      </w:pPr>
      <w:r>
        <w:t>Daratumumab mit VRd verbessert Remissionstiefe bei transplantuntauglichem Myelom</w:t>
      </w:r>
    </w:p>
    <w:p>
      <w:r>
        <w:rPr>
          <w:i/>
          <w:color w:val="666666"/>
          <w:sz w:val="18"/>
        </w:rPr>
        <w:t>Usmani SZ et al.  ·  J Clin Oncol  ·  25.09.2026  ·  PMID 42789828</w:t>
      </w:r>
    </w:p>
    <w:p>
      <w:r>
        <w:t>Phase-3-Studie CEPHEUS mit 289 transplantuntauglichen Patienten (median 58,7 Monate Nachfolge): DVRd versus VRd.</w:t>
      </w:r>
    </w:p>
    <w:p>
      <w:r>
        <w:rPr>
          <w:b/>
        </w:rPr>
        <w:t xml:space="preserve">Ergebnis: </w:t>
      </w:r>
      <w:r>
        <w:t>MRD-Negativität (10⁻⁵): 60,4 % (DVRd) vs. 39,3 % (VRd; p=0,0004). Progressionsfreies Überleben: HR 0,51 (95%-KI 0,35–0,74; p=0,0003). Nachhaltige MRD ≥12 Monate: 47,2 % vs. 28,3 % (p=0,0010).</w:t>
      </w:r>
    </w:p>
    <w:p>
      <w:r>
        <w:rPr>
          <w:b/>
          <w:sz w:val="19"/>
        </w:rPr>
        <w:t xml:space="preserve">Übertragbarkeit: </w:t>
      </w:r>
      <w:r>
        <w:rPr>
          <w:sz w:val="19"/>
        </w:rPr>
        <w:t>Zulassungsrelevante Studie, Datenlage für AMNOG-Bewertung verfügbar.</w:t>
      </w:r>
    </w:p>
    <w:p>
      <w:r>
        <w:rPr>
          <w:color w:val="5A7D3A"/>
          <w:sz w:val="18"/>
        </w:rPr>
        <w:t>https://pubmed.ncbi.nlm.nih.gov/42789828/</w:t>
      </w:r>
    </w:p>
    <w:p>
      <w:pPr>
        <w:pStyle w:val="Heading2"/>
      </w:pPr>
      <w:r>
        <w:t>Symptomcluster nach Schilddrüsenkrebs-OP beeinflussen Lebensqualität</w:t>
      </w:r>
    </w:p>
    <w:p>
      <w:r>
        <w:rPr>
          <w:i/>
          <w:color w:val="666666"/>
          <w:sz w:val="18"/>
        </w:rPr>
        <w:t>Gao J et al.  ·  Oncologist  ·  24.09.2026  ·  PMID 42786665</w:t>
      </w:r>
    </w:p>
    <w:p>
      <w:r>
        <w:t>Nationale multizentrische Querschnittsstudie mit 1.093 Patienten 4 Wochen post-Thyreoidektomie; Symptome und Lebensqualität mittels EORTC QLQ erhoben.</w:t>
      </w:r>
    </w:p>
    <w:p>
      <w:r>
        <w:rPr>
          <w:b/>
        </w:rPr>
        <w:t xml:space="preserve">Ergebnis: </w:t>
      </w:r>
      <w:r>
        <w:t>Drei Symptomcluster identifiziert: psychologisch-somatisch, Schilddrüsenhormon-bezogen, Operations-bezogen. Psychologisch-somatischer Cluster stärker mit schlechterer Lebensqualität assoziiert (β=−0,596; 95%-KI −0,713 bis −0,581). Frauen und Totalthyreoidektomie zeigten höhere Risikomarker.</w:t>
      </w:r>
    </w:p>
    <w:p>
      <w:r>
        <w:rPr>
          <w:b/>
          <w:sz w:val="19"/>
        </w:rPr>
        <w:t xml:space="preserve">Übertragbarkeit: </w:t>
      </w:r>
      <w:r>
        <w:rPr>
          <w:sz w:val="19"/>
        </w:rPr>
        <w:t>China, Symptomerfassung übertragbar, strukturierte Nachsorge-Interventionen ableitbar.</w:t>
      </w:r>
    </w:p>
    <w:p>
      <w:r>
        <w:rPr>
          <w:color w:val="5A7D3A"/>
          <w:sz w:val="18"/>
        </w:rPr>
        <w:t>https://pubmed.ncbi.nlm.nih.gov/42786665/</w:t>
      </w:r>
    </w:p>
    <w:p>
      <w:pPr>
        <w:pStyle w:val="Heading2"/>
      </w:pPr>
      <w:r>
        <w:t>TA-Wiederholungen als Schwachstelle extrachromosomaler DNA im Tumor</w:t>
      </w:r>
    </w:p>
    <w:p>
      <w:r>
        <w:rPr>
          <w:i/>
          <w:color w:val="666666"/>
          <w:sz w:val="18"/>
        </w:rPr>
        <w:t>Billing D et al.  ·  Nature  ·  23.09.2026  ·  PMID 42778593</w:t>
      </w:r>
    </w:p>
    <w:p>
      <w:r>
        <w:t>Grundlagenarbeit zur Mechanik der Aufrechterhaltung extrachromosomaler DNA (ecDNA) in Krebszellen mittels Single-Cell-Sequenzierung und funktionellen Studien.</w:t>
      </w:r>
    </w:p>
    <w:p>
      <w:r>
        <w:rPr>
          <w:b/>
        </w:rPr>
        <w:t xml:space="preserve">Ergebnis: </w:t>
      </w:r>
      <w:r>
        <w:t>Polymerase-θ (Polθ) und FANCM supprimieren Bruchbildung an TA-reichen Stellen. MMEJ-Reparatur hält ecDNA stabil; Polθ-Inhibition destabilisiert ecDNA selektiv, induziert Fitnessverlust in ecDNA-abhängigen Tumoren. Therapeutisches Potenzial identifiziert.</w:t>
      </w:r>
    </w:p>
    <w:p>
      <w:r>
        <w:rPr>
          <w:b/>
          <w:sz w:val="19"/>
        </w:rPr>
        <w:t xml:space="preserve">Übertragbarkeit: </w:t>
      </w:r>
      <w:r>
        <w:rPr>
          <w:sz w:val="19"/>
        </w:rPr>
        <w:t>USA und Deutschland (Charité beteiligt); Zielstruktur für neue Wirkstoff-entwicklung, noch präklinisch.</w:t>
      </w:r>
    </w:p>
    <w:p>
      <w:r>
        <w:rPr>
          <w:color w:val="5A7D3A"/>
          <w:sz w:val="18"/>
        </w:rPr>
        <w:t>https://pubmed.ncbi.nlm.nih.gov/42778593/</w:t>
      </w:r>
    </w:p>
    <w:p>
      <w:pPr>
        <w:pStyle w:val="Heading1"/>
      </w:pPr>
      <w:r>
        <w:t>Aufgenommen am 28.09.2026</w:t>
      </w:r>
    </w:p>
    <w:p>
      <w:pPr>
        <w:pStyle w:val="Heading2"/>
      </w:pPr>
      <w:r>
        <w:t>Kanonische Action Research verbessert Protontherapie-Zuweisungsquoten: Niederländische Versorgungsstudie zeigt Implementierungsdefizite</w:t>
      </w:r>
    </w:p>
    <w:p>
      <w:r>
        <w:rPr>
          <w:i/>
          <w:color w:val="666666"/>
          <w:sz w:val="18"/>
        </w:rPr>
        <w:t>Ho F et al.  ·  Radiother Oncol  ·  27.09.2026  ·  PMID 42801959</w:t>
      </w:r>
    </w:p>
    <w:p>
      <w:r>
        <w:t>Qualitative Implementierungsstudie mit Canonical Action Research in niederländischen Radiotherapie-Zentren zu Barrieren und Interventionen bei Protontherapie-Zuweisungen für Lungen- und Ösophaguskarzinome.</w:t>
      </w:r>
    </w:p>
    <w:p>
      <w:r>
        <w:rPr>
          <w:b/>
        </w:rPr>
        <w:t xml:space="preserve">Ergebnis: </w:t>
      </w:r>
      <w:r>
        <w:t>Diagnose-Phase identifizierte Barrieren (Wissenslücken, unzureichende Koordination, Logistik). Implementierte stakeholder-entwickelte Interventionen (Logistik-Verbesserungen, Patienten-Begleiter) waren mit erhöhten Überweisungs- und Behandlungsraten an einem Zentrum assoziiert. Stakeholder-Wahrnehmung von Pathway-Design und Intervention-Angemessenheit verbesserte sich; Patienten-Zufriedenheit blieb stabil.</w:t>
      </w:r>
    </w:p>
    <w:p>
      <w:r>
        <w:rPr>
          <w:b/>
          <w:sz w:val="19"/>
        </w:rPr>
        <w:t xml:space="preserve">Übertragbarkeit: </w:t>
      </w:r>
      <w:r>
        <w:rPr>
          <w:sz w:val="19"/>
        </w:rPr>
        <w:t>Niederlande, vergleichbares Versicherungssystem; Modell übertragbar auf deutsche Zentrumsvernetzung</w:t>
      </w:r>
    </w:p>
    <w:p>
      <w:r>
        <w:rPr>
          <w:color w:val="5A7D3A"/>
          <w:sz w:val="18"/>
        </w:rPr>
        <w:t>https://pubmed.ncbi.nlm.nih.gov/42801959/</w:t>
      </w:r>
    </w:p>
    <w:p>
      <w:pPr>
        <w:pStyle w:val="Heading2"/>
      </w:pPr>
      <w:r>
        <w:t>Schlafstörungen und Müdigkeit bei Oropharyngeal-Karzinom-Radiotherapie-Überlebenden korrelieren mit Gesamtüberleben</w:t>
      </w:r>
    </w:p>
    <w:p>
      <w:r>
        <w:rPr>
          <w:i/>
          <w:color w:val="666666"/>
          <w:sz w:val="18"/>
        </w:rPr>
        <w:t>Carevic G et al.  ·  Radiother Oncol  ·  26.09.2026  ·  PMID 42800678</w:t>
      </w:r>
    </w:p>
    <w:p>
      <w:r>
        <w:t>Prospektive Longitudinalkohorte (372 Patienten mit Oropharyngeal-Karzinom unter kurativer Strahlentherapie ± Chemotherapie) zum Symptom-Verlauf und Überleben anhand patientenberichteter Outcomes (MDASI-HN).</w:t>
      </w:r>
    </w:p>
    <w:p>
      <w:r>
        <w:rPr>
          <w:b/>
        </w:rPr>
        <w:t xml:space="preserve">Ergebnis: </w:t>
      </w:r>
      <w:r>
        <w:t>Schwere Müdigkeit, Schlafstörung und Schläfrigkeit erreichten Höhepunkt bei RT-Ende (26%, 15%, 18%) und normalisierten sich bis Monat 6. Schwere longitudinale Müdigkeit (HR 5,05), Schlafstörung (HR 3,86) und Schläfrigkeit (HR 8,24) waren unabhängig mit schlechterer Overall Survival assoziiert (p &lt; 0,05). Effekt blieb nach multivariater Anpassung signifikant.</w:t>
      </w:r>
    </w:p>
    <w:p>
      <w:r>
        <w:rPr>
          <w:b/>
          <w:sz w:val="19"/>
        </w:rPr>
        <w:t xml:space="preserve">Übertragbarkeit: </w:t>
      </w:r>
      <w:r>
        <w:rPr>
          <w:sz w:val="19"/>
        </w:rPr>
        <w:t>USA-Tertiary Center; Symptom-basierte Risikoidentifikation übertragbar auf deutsche Nachsorge-Protokolle</w:t>
      </w:r>
    </w:p>
    <w:p>
      <w:r>
        <w:rPr>
          <w:color w:val="5A7D3A"/>
          <w:sz w:val="18"/>
        </w:rPr>
        <w:t>https://pubmed.ncbi.nlm.nih.gov/42800678/</w:t>
      </w:r>
    </w:p>
    <w:p>
      <w:pPr>
        <w:pStyle w:val="Heading2"/>
      </w:pPr>
      <w:r>
        <w:t>Präzisionsmedizin bei ungleicher Zugangsverteilung: Global-Audit zeigt massive Lücken zwischen Anspruch und Versorgung</w:t>
      </w:r>
    </w:p>
    <w:p>
      <w:r>
        <w:rPr>
          <w:i/>
          <w:color w:val="666666"/>
          <w:sz w:val="18"/>
        </w:rPr>
        <w:t>Casolino R et al.  ·  Lancet Oncol  ·  25.09.2026  ·  PMID 42790448</w:t>
      </w:r>
    </w:p>
    <w:p>
      <w:r>
        <w:t>Lancet-Onkologie-Kommission analysierte die globale Lage der Krebsgenetik und Präzisionsmedizin und bewertete Implementierungsbarrieren, Ungleichheiten und den Nutzen biomarker-gestützter Therapien.</w:t>
      </w:r>
    </w:p>
    <w:p>
      <w:r>
        <w:rPr>
          <w:b/>
        </w:rPr>
        <w:t xml:space="preserve">Ergebnis: </w:t>
      </w:r>
      <w:r>
        <w:t>Nur wenige validierte Biomarker-Therapie-Paare zeigen konsistente klinische Gewinne; umfassendere genomische Profiling-Ansätze erweitern Optionen für Patienten, doch profitiert nur ein kleiner Anteil von angepasster Therapie. Massive Ungleichheiten bei Zugang zur Genomik und Präzisionsmedizin bestehen länder- und populationsübergreifend. Die Studie liefert ein Implementierungs-Framework für gerechte, nachhaltige Skalierung.</w:t>
      </w:r>
    </w:p>
    <w:p>
      <w:r>
        <w:rPr>
          <w:b/>
          <w:sz w:val="19"/>
        </w:rPr>
        <w:t xml:space="preserve">Übertragbarkeit: </w:t>
      </w:r>
      <w:r>
        <w:rPr>
          <w:sz w:val="19"/>
        </w:rPr>
        <w:t>Deutsches Gesundheitssystem: zentral für Zertifizierung der Zentren und AMNOG-Bewertung</w:t>
      </w:r>
    </w:p>
    <w:p>
      <w:r>
        <w:rPr>
          <w:color w:val="5A7D3A"/>
          <w:sz w:val="18"/>
        </w:rPr>
        <w:t>https://pubmed.ncbi.nlm.nih.gov/42790448/</w:t>
      </w:r>
    </w:p>
    <w:p>
      <w:pPr>
        <w:pStyle w:val="Heading2"/>
      </w:pPr>
      <w:r>
        <w:t>Gesamtüberleben als primärer Endpunkt in Phase-III-Onkologie-Studien: Metaanalyse zeigt konsistente Gewinne</w:t>
      </w:r>
    </w:p>
    <w:p>
      <w:r>
        <w:rPr>
          <w:i/>
          <w:color w:val="666666"/>
          <w:sz w:val="18"/>
        </w:rPr>
        <w:t>Sherry AD et al.  ·  Oncologist  ·  09.09.2026  ·  PMID 42789933</w:t>
      </w:r>
    </w:p>
    <w:p>
      <w:r>
        <w:t>OPTIMA-Metaanalyse mit individualisierten Patientendaten von 159 Phase-III-Studien mit Gesamt-Überleben als primärem Endpunkt (104.740 Patienten).</w:t>
      </w:r>
    </w:p>
    <w:p>
      <w:r>
        <w:rPr>
          <w:b/>
        </w:rPr>
        <w:t xml:space="preserve">Ergebnis: </w:t>
      </w:r>
      <w:r>
        <w:t>Experimentelle Arme zeigten im Zwei-Stufen-Cox-Modell verbesserte Overall Survival (Hazard Ratio 0,87; 95%-KI 0,85–0,89; p &lt; 0,0001), bestätigt im einstufigen stratifizierten Modell (HR 0,88; 95%-KI 0,85–0,90). Befund dokumentiert, dass randomisierte Phase-III-Studien mit OS-Primärendpunkt konsistent therapeutische Fortschritte nachweisen.</w:t>
      </w:r>
    </w:p>
    <w:p>
      <w:r>
        <w:rPr>
          <w:b/>
          <w:sz w:val="19"/>
        </w:rPr>
        <w:t xml:space="preserve">Übertragbarkeit: </w:t>
      </w:r>
      <w:r>
        <w:rPr>
          <w:sz w:val="19"/>
        </w:rPr>
        <w:t>Multinationale Studienpopulation; Befunde unterstützen Regulierungs- und Finanzierungsprioritäten für OS-fokussierte Trials</w:t>
      </w:r>
    </w:p>
    <w:p>
      <w:r>
        <w:rPr>
          <w:color w:val="5A7D3A"/>
          <w:sz w:val="18"/>
        </w:rPr>
        <w:t>https://pubmed.ncbi.nlm.nih.gov/42789933/</w:t>
      </w:r>
    </w:p>
    <w:p>
      <w:pPr>
        <w:pStyle w:val="Heading2"/>
      </w:pPr>
      <w:r>
        <w:t>Alkoholkonsum und Kolorektalkarzinom-Risiko bei Prä-Diabetes und Diabetes: Südkoreanische Kohorten zeigen Synergien</w:t>
      </w:r>
    </w:p>
    <w:p>
      <w:r>
        <w:rPr>
          <w:i/>
          <w:color w:val="666666"/>
          <w:sz w:val="18"/>
        </w:rPr>
        <w:t>Kim TS et al.  ·  J Natl Cancer Inst  ·  24.09.2026  ·  PMID 42786582</w:t>
      </w:r>
    </w:p>
    <w:p>
      <w:r>
        <w:t>Nationale südkoreanische Kohortenstudie (4,475.492 Erwachsene, Median-Follow-up 9,33 Jahre) zur Dosis-Wirkung zwischen Alkoholkonsum und Kolorektalkrebs-Inzidenz nach glykämischem Status.</w:t>
      </w:r>
    </w:p>
    <w:p>
      <w:r>
        <w:rPr>
          <w:b/>
        </w:rPr>
        <w:t xml:space="preserve">Ergebnis: </w:t>
      </w:r>
      <w:r>
        <w:t>51.592 CRC-Fälle dokumentiert. Leichter bis mäßiger Alkoholkonsum erhöhte CRC-Risiko synergistisch bei Prä-Diabetes (HR 1,23; 95%-KI 1,19–1,27; Synergieindex 1,72) und Diabetes (HR 1,48; 95%-KI 1,42–1,54; Synergieindex 2,04). Dose-abhängige lineare Assoziation über alle kolorektalen Subsites, steiler bei Diabetes.</w:t>
      </w:r>
    </w:p>
    <w:p>
      <w:r>
        <w:rPr>
          <w:b/>
          <w:sz w:val="19"/>
        </w:rPr>
        <w:t xml:space="preserve">Übertragbarkeit: </w:t>
      </w:r>
      <w:r>
        <w:rPr>
          <w:sz w:val="19"/>
        </w:rPr>
        <w:t>Südkorea, hohes Screening-Aufkommen; Prävention bei Stoffwechselvorstufen setzt patientenrelevante Endpunkte voraus</w:t>
      </w:r>
    </w:p>
    <w:p>
      <w:r>
        <w:rPr>
          <w:color w:val="5A7D3A"/>
          <w:sz w:val="18"/>
        </w:rPr>
        <w:t>https://pubmed.ncbi.nlm.nih.gov/42786582/</w:t>
      </w:r>
    </w:p>
    <w:p>
      <w:pPr>
        <w:pStyle w:val="Heading2"/>
      </w:pPr>
      <w:r>
        <w:t>KI-Modelle zur Risikoprognose in der Magenkrebsnachsorge: Transfernutzen unklar</w:t>
      </w:r>
    </w:p>
    <w:p>
      <w:r>
        <w:rPr>
          <w:i/>
          <w:color w:val="666666"/>
          <w:sz w:val="18"/>
        </w:rPr>
        <w:t>Rabasco Meneghetti A  ·  Ann Oncol  ·  Okt. 2026  ·  PMID 42760040</w:t>
      </w:r>
    </w:p>
    <w:p>
      <w:r>
        <w:t>Kommentar zu DeepComp, einem KI-System für postoperative Risikostratifizierung beim Magenkarzinom; erörtert Vorhersagekompetenz und Umsetzungserfordernisse.</w:t>
      </w:r>
    </w:p>
    <w:p>
      <w:r>
        <w:rPr>
          <w:b/>
        </w:rPr>
        <w:t xml:space="preserve">Ergebnis: </w:t>
      </w:r>
      <w:r>
        <w:t>Der Kommentar diskutiert Chancen maschineller Lernverfahren zur Risikoklassifizierung, warnt aber vor Interpretationsfallen und nennt fehlende Validierung in prospektiven Kohorten als zentrale Hürde für klinische Adoption.</w:t>
      </w:r>
    </w:p>
    <w:p>
      <w:r>
        <w:rPr>
          <w:b/>
          <w:sz w:val="19"/>
        </w:rPr>
        <w:t xml:space="preserve">Übertragbarkeit: </w:t>
      </w:r>
      <w:r>
        <w:rPr>
          <w:sz w:val="19"/>
        </w:rPr>
        <w:t>Deutschland: Validierung in Zentren notwendig vor Einsatz in AMNOG- und Zertifizierungskontexten</w:t>
      </w:r>
    </w:p>
    <w:p>
      <w:r>
        <w:rPr>
          <w:color w:val="5A7D3A"/>
          <w:sz w:val="18"/>
        </w:rPr>
        <w:t>https://pubmed.ncbi.nlm.nih.gov/42760040/</w:t>
      </w:r>
    </w:p>
    <w:p>
      <w:pPr>
        <w:pStyle w:val="Heading1"/>
      </w:pPr>
      <w:r>
        <w:t>Aufgenommen am 27.09.2026</w:t>
      </w:r>
    </w:p>
    <w:p>
      <w:pPr>
        <w:pStyle w:val="Heading2"/>
      </w:pPr>
      <w:r>
        <w:t>Single-Fraction SABR gleichwertig zu Multi-Fraction bei frühem NSCLC</w:t>
      </w:r>
    </w:p>
    <w:p>
      <w:r>
        <w:rPr>
          <w:i/>
          <w:color w:val="666666"/>
          <w:sz w:val="18"/>
        </w:rPr>
        <w:t>Aguirre-Meneses KA et al.  ·  Radiother Oncol  ·  26.09.2026  ·  PMID 42800679</w:t>
      </w:r>
    </w:p>
    <w:p>
      <w:r>
        <w:t>Bevölkerungsbasierte retrospektive Analyse aus British Columbia (2021-2024): 814 Läsionen bei 778 Patienten mit peripher gelegenem T1-2N0-NSCLC, behandelt mit Single-Fraction (SF) oder Multi-Fraction (MF) SABR, Nachverfolgung median 25,8 Monate.</w:t>
      </w:r>
    </w:p>
    <w:p>
      <w:r>
        <w:rPr>
          <w:b/>
        </w:rPr>
        <w:t xml:space="preserve">Ergebnis: </w:t>
      </w:r>
      <w:r>
        <w:t>Keine signifikanten Unterschiede in 2-Jahres-Lokalversagen (3,5% vs. 4,8%, p=0,11) oder 2-Jahres-Gesamtüberleben (79,3% vs. 79,4%, p=0,62). Grad-2-Toxizität 11,5% vs. 12,4%, Grad-3-5-Toxizität 1,5% vs. 3,9% (p=0,08), Brustwandtoxizität identisch 5,0%. SF-SABR war kein unabhängiger Prädiktor für Lokalversagen oder Toxizität.</w:t>
      </w:r>
    </w:p>
    <w:p>
      <w:r>
        <w:rPr>
          <w:b/>
          <w:sz w:val="19"/>
        </w:rPr>
        <w:t xml:space="preserve">Übertragbarkeit: </w:t>
      </w:r>
      <w:r>
        <w:rPr>
          <w:sz w:val="19"/>
        </w:rPr>
        <w:t>Kanadisches System mit vergleichbarem öffentlichem Versicherungsauftrag; Kostenwirksamkeit für deutsche Strahlenkliniken relevant.</w:t>
      </w:r>
    </w:p>
    <w:p>
      <w:r>
        <w:rPr>
          <w:color w:val="5A7D3A"/>
          <w:sz w:val="18"/>
        </w:rPr>
        <w:t>https://pubmed.ncbi.nlm.nih.gov/42800679/</w:t>
      </w:r>
    </w:p>
    <w:p>
      <w:pPr>
        <w:pStyle w:val="Heading2"/>
      </w:pPr>
      <w:r>
        <w:t>Tumor-First DNA-Testing effizienter als Familienanamnese für BRCA-Screening</w:t>
      </w:r>
    </w:p>
    <w:p>
      <w:r>
        <w:rPr>
          <w:i/>
          <w:color w:val="666666"/>
          <w:sz w:val="18"/>
        </w:rPr>
        <w:t>Kloots ISH et al.  ·  Eur J Cancer  ·  19.09.2026  ·  PMID 42800309</w:t>
      </w:r>
    </w:p>
    <w:p>
      <w:r>
        <w:t>Prospektive Studie (PROMPT) mit 452 Patienten mit metastasiertem Prostatakarzinom: Vergleich tumor-first-workflow (TFW) versus familienanamnese-basierte Testung für Keimbahnvarianten in BRCA1/2, PALB2, ATM, CHEK2.</w:t>
      </w:r>
    </w:p>
    <w:p>
      <w:r>
        <w:rPr>
          <w:b/>
        </w:rPr>
        <w:t xml:space="preserve">Ergebnis: </w:t>
      </w:r>
      <w:r>
        <w:t>TFW identifizierte 22/36 (61%) aller Träger pathogener Keimbahnvarianten mit technischer Sensitivität von 97%. Gegenüber modellierter Familienanamnese-Strategie (8 vs. 22 Träger identifiziert; p&lt;0,001) war TFW deutlich überlegen mit positiv-prädiktivem Wert 51% vs. 13% und niedrigerer Anzahl zum Testen (2,0 vs. 7,9). Kosten pro entdeckter Variante: 998 € vs. 12.246 €.</w:t>
      </w:r>
    </w:p>
    <w:p>
      <w:r>
        <w:rPr>
          <w:b/>
          <w:sz w:val="19"/>
        </w:rPr>
        <w:t xml:space="preserve">Übertragbarkeit: </w:t>
      </w:r>
      <w:r>
        <w:rPr>
          <w:sz w:val="19"/>
        </w:rPr>
        <w:t>Niederländisches Gesundheitssystem mit direkter Übertragbarkeit auf deutsches Mutationsscreening-Protokoll.</w:t>
      </w:r>
    </w:p>
    <w:p>
      <w:r>
        <w:rPr>
          <w:color w:val="5A7D3A"/>
          <w:sz w:val="18"/>
        </w:rPr>
        <w:t>https://pubmed.ncbi.nlm.nih.gov/42800309/</w:t>
      </w:r>
    </w:p>
    <w:p>
      <w:pPr>
        <w:pStyle w:val="Heading2"/>
      </w:pPr>
      <w:r>
        <w:t>Spirituelle Überzeugungen hemmen Studienteilnahme schwarzer Krebspatienten massiv</w:t>
      </w:r>
    </w:p>
    <w:p>
      <w:r>
        <w:rPr>
          <w:i/>
          <w:color w:val="666666"/>
          <w:sz w:val="18"/>
        </w:rPr>
        <w:t>Gomez C et al.  ·  Int J Radiat Oncol Biol Phys  ·  25.09.2026  ·  PMID 42790602</w:t>
      </w:r>
    </w:p>
    <w:p>
      <w:r>
        <w:t>Querschnittstudie an 172 von 247 Patienten (70% Teilnahmequote) nach definitiver Strahlentherapie für GI-, thorakale, gynäkologische und HNO-Malignome (Oktober 2023–Februar 2024): Psychosoziale Faktoren und Studieneinschlusshindernisse.</w:t>
      </w:r>
    </w:p>
    <w:p>
      <w:r>
        <w:rPr>
          <w:b/>
        </w:rPr>
        <w:t xml:space="preserve">Ergebnis: </w:t>
      </w:r>
      <w:r>
        <w:t>Schwarze Patienten (n=42, 24%) waren weniger verheiratet (16,7% vs. 68,8%; p&lt;0,001), geringer gebildet und hatten niedrigeres Einkommen ($69.318 vs. $106.823; p&lt;0,001). Obwohl gleich viele zur Teilnahme eingeladen (17,9% vs. 21,7%), stimmten weniger schwarze Patienten zu (17,1% vs. 31,9%; p&lt;0,001). Höhere Religiosität senkte Teilnahmebereitschaft um 44% (p=0,036). 48% schwarzer vs. 17,3% weißer Patienten glaubten, dass Gott Heilung bestimmt (p=0,024); 18% schwarzer vs. 3,6% weißer Patienten misstrauten klinischer Forschung (p=0,001).</w:t>
      </w:r>
    </w:p>
    <w:p>
      <w:r>
        <w:rPr>
          <w:b/>
          <w:sz w:val="19"/>
        </w:rPr>
        <w:t xml:space="preserve">Übertragbarkeit: </w:t>
      </w:r>
      <w:r>
        <w:rPr>
          <w:sz w:val="19"/>
        </w:rPr>
        <w:t>USA - Disparitäten-fokussiertes qualitatives Forschungsdesign; deutsche Rekrutierungsstrategien müssen kulturelle und religiöse Faktoren adressieren.</w:t>
      </w:r>
    </w:p>
    <w:p>
      <w:r>
        <w:rPr>
          <w:color w:val="5A7D3A"/>
          <w:sz w:val="18"/>
        </w:rPr>
        <w:t>https://pubmed.ncbi.nlm.nih.gov/42790602/</w:t>
      </w:r>
    </w:p>
    <w:p>
      <w:pPr>
        <w:pStyle w:val="Heading2"/>
      </w:pPr>
      <w:r>
        <w:t>Komplexe Genomik verzögert Zugang zu Essential Cancer Medicines global</w:t>
      </w:r>
    </w:p>
    <w:p>
      <w:r>
        <w:rPr>
          <w:i/>
          <w:color w:val="666666"/>
          <w:sz w:val="18"/>
        </w:rPr>
        <w:t>Vokinger KN et al.  ·  Lancet Oncol  ·  25.09.2026  ·  PMID 42790449</w:t>
      </w:r>
    </w:p>
    <w:p>
      <w:r>
        <w:t>Retrospektive Analyse der Verfügbarkeit von 41 Essential Cancer Medicines auf der WHO-Liste zwischen 2002 und 2023 in 71 Ländern, unterschieden nach Anforderung an Immunhistochemie, komplexe Genomik oder keine Diagnostik.</w:t>
      </w:r>
    </w:p>
    <w:p>
      <w:r>
        <w:rPr>
          <w:b/>
        </w:rPr>
        <w:t xml:space="preserve">Ergebnis: </w:t>
      </w:r>
      <w:r>
        <w:t>Arzneien, die komplexe genomische Diagnostik erfordern, zeigen 65% niedrigere Aufnahmevolumina als solche ohne Diagnostik-Anforderung (Regressionskoeffizient −0,453, p&lt;0,0001). In Ländern mit niedrigem BIP (&lt;11.000 USD) werden nur 44% der Arzneien mit komplexer Genomik eingesetzt, gegenüber 79% in Ländern mit hohem BIP (&gt;33.000 USD). Die Aufnahme zeigt, dass WHO-EML-Listung allein für Zugang insufficient ist.</w:t>
      </w:r>
    </w:p>
    <w:p>
      <w:r>
        <w:rPr>
          <w:b/>
          <w:sz w:val="19"/>
        </w:rPr>
        <w:t xml:space="preserve">Übertragbarkeit: </w:t>
      </w:r>
      <w:r>
        <w:rPr>
          <w:sz w:val="19"/>
        </w:rPr>
        <w:t>Zeigt strukturelle Barrieren für Precision Oncology in Ländern mit begrenzter diagnostischer Infrastruktur; international vergleichbar.</w:t>
      </w:r>
    </w:p>
    <w:p>
      <w:r>
        <w:rPr>
          <w:color w:val="5A7D3A"/>
          <w:sz w:val="18"/>
        </w:rPr>
        <w:t>https://pubmed.ncbi.nlm.nih.gov/42790449/</w:t>
      </w:r>
    </w:p>
    <w:p>
      <w:pPr>
        <w:pStyle w:val="Heading2"/>
      </w:pPr>
      <w:r>
        <w:t>Venetoclax + Inotuzumab ozogamicin erzielt 95% komplette Remission im rezidivierten/refraktären B-ALL</w:t>
      </w:r>
    </w:p>
    <w:p>
      <w:r>
        <w:rPr>
          <w:i/>
          <w:color w:val="666666"/>
          <w:sz w:val="18"/>
        </w:rPr>
        <w:t>Luskin MR et al.  ·  Blood  ·  25.09.2026  ·  PMID 42789493</w:t>
      </w:r>
    </w:p>
    <w:p>
      <w:r>
        <w:t>Phase-1-Studie (23 Patienten, 15 ALL, 8 LBL): Kombination BCL-2-Inhibitor Venetoclax (VEN 400 mg/Tag 21 Tage) plus CD22-Antikörper-Wirkstoff-Konjugat Inotuzumab ozogamicin (Standard-Dosis) bei rezidiviertem/refraktärem CD22+ B-ALL/lymphoblastischem Lymphom.</w:t>
      </w:r>
    </w:p>
    <w:p>
      <w:r>
        <w:rPr>
          <w:b/>
        </w:rPr>
        <w:t xml:space="preserve">Ergebnis: </w:t>
      </w:r>
      <w:r>
        <w:t>Von 22 evaluablen Patienten erreichten 21 (95,5%) komplette Remission, 19 nach einem Zyklus. Messbare Resterkrankung (MRD) negativ in 88,9% (Flow &lt;10⁻⁴) und 73,7% (NGS &lt;10⁻⁶). Zwei-Jahres-krankheitsfreies Überleben 48% (95% KI 24–72%), medianes Gesamtüberleben nicht erreicht. Nebenwirkungen Grad ≥3: Thrombozytopenie 43,5%, Neutropenie 39,1%, sinusoidales obstruktives Syndrom 4 Patienten. MRD-Negativität korrelierte mit BCL-2-Abhängigkeit; Progression verband sich mit MCL-1-Abhängigkeit, CD22-Escape, ABCB1-Expression.</w:t>
      </w:r>
    </w:p>
    <w:p>
      <w:r>
        <w:rPr>
          <w:b/>
          <w:sz w:val="19"/>
        </w:rPr>
        <w:t xml:space="preserve">Übertragbarkeit: </w:t>
      </w:r>
      <w:r>
        <w:rPr>
          <w:sz w:val="19"/>
        </w:rPr>
        <w:t>USA-Zentrum, Phase 1; internationale Wirkstoffkombination, Übertragung auf Deutschland abhängig von Zulassung und lokaler ALL-Protokoll-Integration.</w:t>
      </w:r>
    </w:p>
    <w:p>
      <w:r>
        <w:rPr>
          <w:color w:val="5A7D3A"/>
          <w:sz w:val="18"/>
        </w:rPr>
        <w:t>https://pubmed.ncbi.nlm.nih.gov/42789493/</w:t>
      </w:r>
    </w:p>
    <w:p>
      <w:pPr>
        <w:pStyle w:val="Heading2"/>
      </w:pPr>
      <w:r>
        <w:t>Körperliche Aktivität verbessert Krankheitsfreies Überleben bei ctDNA-negativem Kolonkarzinom</w:t>
      </w:r>
    </w:p>
    <w:p>
      <w:r>
        <w:rPr>
          <w:i/>
          <w:color w:val="666666"/>
          <w:sz w:val="18"/>
        </w:rPr>
        <w:t>Zhang GQ et al.  ·  J Natl Cancer Inst  ·  24.09.2026  ·  PMID 42786576</w:t>
      </w:r>
    </w:p>
    <w:p>
      <w:r>
        <w:t>Post-hoc-Analyse der Phase-III-Studie CALGB/SWOG 80702 (763 Patienten Stage III Kolonkarzinom): Assoziation von körperlicher Aktivität (gemessen in MET-Stunden/Woche) und postoperativem Überleben, stratifiziert nach zirkulierender Tumor-DNA (ctDNA).</w:t>
      </w:r>
    </w:p>
    <w:p>
      <w:r>
        <w:rPr>
          <w:b/>
        </w:rPr>
        <w:t xml:space="preserve">Ergebnis: </w:t>
      </w:r>
      <w:r>
        <w:t>Bei ctDNA-negativen Patienten zeigten moderate (HR 0,58, 95% KI 0,37–0,91) und hohe körperliche Aktivität (HR 0,49, 95% KI 0,27–0,86) versus Inaktivität verbessertes krankheitsfreies Überleben. Bei ctDNA-positiven Patienten war körperliche Aktivität nicht prognostisch (p&gt;0,05). Physische Aktivität plus adjuvantes Celecoxib zeigte Vorteil in beiden Gruppen (ctDNA-positiv: HR 0,29, 95% KI 0,15–0,57).</w:t>
      </w:r>
    </w:p>
    <w:p>
      <w:r>
        <w:rPr>
          <w:b/>
          <w:sz w:val="19"/>
        </w:rPr>
        <w:t xml:space="preserve">Übertragbarkeit: </w:t>
      </w:r>
      <w:r>
        <w:rPr>
          <w:sz w:val="19"/>
        </w:rPr>
        <w:t>Nordamerikanische Kohortenstudie; ctDNA-Analytik national nur in Zentren verfügbar, Aktivitätsinterventionen aber universell umsetzbar.</w:t>
      </w:r>
    </w:p>
    <w:p>
      <w:r>
        <w:rPr>
          <w:color w:val="5A7D3A"/>
          <w:sz w:val="18"/>
        </w:rPr>
        <w:t>https://pubmed.ncbi.nlm.nih.gov/42786576/</w:t>
      </w:r>
    </w:p>
    <w:p>
      <w:pPr>
        <w:pStyle w:val="Heading2"/>
      </w:pPr>
      <w:r>
        <w:t>Evorpacept + Trastuzumab/Ramucirumab/Paclitaxel verbessert Ansprechrate im HER2+ Magenkarzinom</w:t>
      </w:r>
    </w:p>
    <w:p>
      <w:r>
        <w:rPr>
          <w:i/>
          <w:color w:val="666666"/>
          <w:sz w:val="18"/>
        </w:rPr>
        <w:t>Shitara K et al.  ·  Nat Med  ·  24.09.2026  ·  PMID 42786305</w:t>
      </w:r>
    </w:p>
    <w:p>
      <w:r>
        <w:t>Phase-2-Portion der randomisierten Studie ASPEN-06 (127 Patienten mit vorbehandeltem HER2-überexprimiertem metastasiertem Magen-/Ösophaguskarzinom): Evorpacept (CD47-SIRPα-Blocker) plus Standard-Tripel (TRP) versus TRP allein.</w:t>
      </w:r>
    </w:p>
    <w:p>
      <w:r>
        <w:rPr>
          <w:b/>
        </w:rPr>
        <w:t xml:space="preserve">Ergebnis: </w:t>
      </w:r>
      <w:r>
        <w:t>Primärer Endpunkt: Objektive Ansprechrate (ORR) investigator-assessed 40,3% (Evo+TRP) vs. 26,6% (TRP) in ITT-Population (Differenz 13,7%, p&lt;0,001), in Fresh-Biopsy-HER2+-Subgruppe 54,8% vs. 23,1% (Differenz 31,7%). Differenzen überschritten Schwellen, aber vs. historischem Benchmark (30%) verfehlte nur Fresh-Biopsy-Gruppe Signifikanz knapp (p=0,030 one-sided). Toxizitäten vergleichbar mit etabliertem Profil.</w:t>
      </w:r>
    </w:p>
    <w:p>
      <w:r>
        <w:rPr>
          <w:b/>
          <w:sz w:val="19"/>
        </w:rPr>
        <w:t xml:space="preserve">Übertragbarkeit: </w:t>
      </w:r>
      <w:r>
        <w:rPr>
          <w:sz w:val="19"/>
        </w:rPr>
        <w:t>Internationale Phase-2-Studie; Zulassungsfähigkeit zu klären, Übertragung auf Deutschland abhängig von Zulassung und Amnog-Bewertung.</w:t>
      </w:r>
    </w:p>
    <w:p>
      <w:r>
        <w:rPr>
          <w:color w:val="5A7D3A"/>
          <w:sz w:val="18"/>
        </w:rPr>
        <w:t>https://pubmed.ncbi.nlm.nih.gov/42786305/</w:t>
      </w:r>
    </w:p>
    <w:p>
      <w:pPr>
        <w:pStyle w:val="Heading1"/>
      </w:pPr>
      <w:r>
        <w:t>Aufgenommen am 26.09.2026</w:t>
      </w:r>
    </w:p>
    <w:p>
      <w:pPr>
        <w:pStyle w:val="Heading2"/>
      </w:pPr>
      <w:r>
        <w:t>Reduzierte Dosis für elektive Halsknotenbest. in Nasopharynxkarzinom: 5-Jahres-Sicherheit</w:t>
      </w:r>
    </w:p>
    <w:p>
      <w:r>
        <w:rPr>
          <w:i/>
          <w:color w:val="666666"/>
          <w:sz w:val="18"/>
        </w:rPr>
        <w:t>Chen X et al.  ·  Radiother Oncol  ·  25.09.2026  ·  PMID 42790787</w:t>
      </w:r>
    </w:p>
    <w:p>
      <w:r>
        <w:t>Retrospektive Kohorte mit 752 Patienten zu Langzeiteffizienz und Organschonung bei De-Eskalation der elektiven Halsknotenbestrahlung von 50 Gy auf 45 Gy EQD2 bei intensitätsmodulierter Radiotherapie.</w:t>
      </w:r>
    </w:p>
    <w:p>
      <w:r>
        <w:rPr>
          <w:b/>
        </w:rPr>
        <w:t xml:space="preserve">Ergebnis: </w:t>
      </w:r>
      <w:r>
        <w:t>5-Jahres-Regionalkontrollen 97,3 %, Gesamtüberleben 89,7 %. Nur 0,7 % isolierte Rezidive in der 45-Gy-Dosis. Vergleichspläne zeigten signifikante Dosisreduktion für alle Risikoorgane (p &lt; 0,001) mit bedeutsamen NTCP-Reduktionen für Parotisfunktionsverlust, Dysphagie und Hypothyreose (alle p &lt; 0,001).</w:t>
      </w:r>
    </w:p>
    <w:p>
      <w:r>
        <w:rPr>
          <w:b/>
          <w:sz w:val="19"/>
        </w:rPr>
        <w:t xml:space="preserve">Übertragbarkeit: </w:t>
      </w:r>
      <w:r>
        <w:rPr>
          <w:sz w:val="19"/>
        </w:rPr>
        <w:t>Chinesische Daten, internationales Standard-Bestrahlungsprotokoll, direkt übertragbar.</w:t>
      </w:r>
    </w:p>
    <w:p>
      <w:r>
        <w:rPr>
          <w:color w:val="5A7D3A"/>
          <w:sz w:val="18"/>
        </w:rPr>
        <w:t>https://pubmed.ncbi.nlm.nih.gov/42790787/</w:t>
      </w:r>
    </w:p>
    <w:p>
      <w:pPr>
        <w:pStyle w:val="Heading2"/>
      </w:pPr>
      <w:r>
        <w:t>Iberdomid + Daratumumab gegen Bortezomib bei Myelom: MRD-negative Remissionen verdoppelt</w:t>
      </w:r>
    </w:p>
    <w:p>
      <w:r>
        <w:rPr>
          <w:i/>
          <w:color w:val="666666"/>
          <w:sz w:val="18"/>
        </w:rPr>
        <w:t>Lonial S et al.  ·  Lancet Oncol  ·  25.09.2026  ·  PMID 42790445</w:t>
      </w:r>
    </w:p>
    <w:p>
      <w:r>
        <w:t>Phase-3-Studie (EXCALIBER-RRMM) mit 420 Patienten, randomisiert zum Vergleich Iberdomid/Daratumumab/Dexamethason vs. Daratumumab/Bortezomib/Dexamethason bei rezidiviertem/refraktärem Myelom.</w:t>
      </w:r>
    </w:p>
    <w:p>
      <w:r>
        <w:rPr>
          <w:b/>
        </w:rPr>
        <w:t xml:space="preserve">Ergebnis: </w:t>
      </w:r>
      <w:r>
        <w:t>MRD-negative komplette Remissionen (Fluoreszenzfluss &lt;10−5) 41 % vs. 21 % (odds ratio 2,8; 95%-KI 1,8–4,3; p &lt; 0,0001). Grad-3/4-Nebenwirkungen in 92 % vs. 70 % (Neutropenie 84 % vs. 11 %, Infektionen 39 % vs. 22 %), managebar mit Supportivtherapie.</w:t>
      </w:r>
    </w:p>
    <w:p>
      <w:r>
        <w:rPr>
          <w:b/>
          <w:sz w:val="19"/>
        </w:rPr>
        <w:t xml:space="preserve">Übertragbarkeit: </w:t>
      </w:r>
      <w:r>
        <w:rPr>
          <w:sz w:val="19"/>
        </w:rPr>
        <w:t>Internationale Studie, zentraler europäischer Einsatz in AMNOG-Verfahren zu prüfen.</w:t>
      </w:r>
    </w:p>
    <w:p>
      <w:r>
        <w:rPr>
          <w:color w:val="5A7D3A"/>
          <w:sz w:val="18"/>
        </w:rPr>
        <w:t>https://pubmed.ncbi.nlm.nih.gov/42790445/</w:t>
      </w:r>
    </w:p>
    <w:p>
      <w:pPr>
        <w:pStyle w:val="Heading2"/>
      </w:pPr>
      <w:r>
        <w:t>Online adaptive Radiotherapie bei Prostatakarzinom: weniger Toxizität, bessere Lebensqualität</w:t>
      </w:r>
    </w:p>
    <w:p>
      <w:r>
        <w:rPr>
          <w:i/>
          <w:color w:val="666666"/>
          <w:sz w:val="18"/>
        </w:rPr>
        <w:t>Kalinauskaite G et al.  ·  Strahlenther Onkol  ·  25.09.2026  ·  PMID 42789071</w:t>
      </w:r>
    </w:p>
    <w:p>
      <w:r>
        <w:t>Prospektive Studie zum Vergleich der akuten Toxizität und Lebensqualität bei adaptiver MRT-gestützter Online-Bestrahlung vs. konventioneller bildgestützter Radiotherapie bei Prostatakarzinom mit moderat hypofraktioniertem Schema.</w:t>
      </w:r>
    </w:p>
    <w:p>
      <w:r>
        <w:rPr>
          <w:b/>
        </w:rPr>
        <w:t xml:space="preserve">Ergebnis: </w:t>
      </w:r>
      <w:r>
        <w:t>Adaptive Radiotherapie war mit günstigerem gastrointestinalem Toxizitätsprofil assoziiert (niedrigere maximale Toxizitätsgrade; p = 0,028). Patienten der Vergleichsgruppe zeigten häufiger klinisch bedeutsame Verschlechterungen bei Fatigue (74 % vs. 37 %; p = 0,004), körperlicher Funktionsfähigkeit (27 % vs. 3 %; p = 0,009) und Rollenerfüllung (48,1 % vs. 22,9 %; p = 0,04).</w:t>
      </w:r>
    </w:p>
    <w:p>
      <w:r>
        <w:rPr>
          <w:b/>
          <w:sz w:val="19"/>
        </w:rPr>
        <w:t xml:space="preserve">Übertragbarkeit: </w:t>
      </w:r>
      <w:r>
        <w:rPr>
          <w:sz w:val="19"/>
        </w:rPr>
        <w:t>Deutsches Zentrumsmodell, Charité und Ulm, validierbar für deutsche Routineversorgung.</w:t>
      </w:r>
    </w:p>
    <w:p>
      <w:r>
        <w:rPr>
          <w:color w:val="5A7D3A"/>
          <w:sz w:val="18"/>
        </w:rPr>
        <w:t>https://pubmed.ncbi.nlm.nih.gov/42789071/</w:t>
      </w:r>
    </w:p>
    <w:p>
      <w:pPr>
        <w:pStyle w:val="Heading2"/>
      </w:pPr>
      <w:r>
        <w:t>Zentralisierte MRT-geführte adaptive Brachytherapie für Zervixkarzinom in Österreich: Durchführbarkeit und Ergebnisse</w:t>
      </w:r>
    </w:p>
    <w:p>
      <w:r>
        <w:rPr>
          <w:i/>
          <w:color w:val="666666"/>
          <w:sz w:val="18"/>
        </w:rPr>
        <w:t>Knoth J et al.  ·  Strahlenther Onkol  ·  25.09.2026  ·  PMID 42789070</w:t>
      </w:r>
    </w:p>
    <w:p>
      <w:r>
        <w:t>Retrospektive Kohortenstudie zur Machbarkeit eines österreichischen Zentranzugangsmodells mit dezentraler Perkutanstrahlung und zentralisierter MRT-gestützter adaptiver Brachytherapie bei 89 Patienten mit FIGO IB–IVA Zervixkarzinom (2018–2022).</w:t>
      </w:r>
    </w:p>
    <w:p>
      <w:r>
        <w:rPr>
          <w:b/>
        </w:rPr>
        <w:t xml:space="preserve">Ergebnis: </w:t>
      </w:r>
      <w:r>
        <w:t>3-Jahres-Gesamtüberleben 74 %, Lokalkontrollen 95 %, Beckenregionalkontrollen 95 %. Grad-≥3-Morbidität bei 26,1 %. Mediane Gesamtbehandlungsdauer 50 Tage. Durchführbarkeit und Qualität bestätigt, auch bei paraaortischen Metastasen (17 %).</w:t>
      </w:r>
    </w:p>
    <w:p>
      <w:r>
        <w:rPr>
          <w:b/>
          <w:sz w:val="19"/>
        </w:rPr>
        <w:t xml:space="preserve">Übertragbarkeit: </w:t>
      </w:r>
      <w:r>
        <w:rPr>
          <w:sz w:val="19"/>
        </w:rPr>
        <w:t>Österreichisches Verbundsystem direkt auf deutsche Zentrumslandschaft übertragbar.</w:t>
      </w:r>
    </w:p>
    <w:p>
      <w:r>
        <w:rPr>
          <w:color w:val="5A7D3A"/>
          <w:sz w:val="18"/>
        </w:rPr>
        <w:t>https://pubmed.ncbi.nlm.nih.gov/42789070/</w:t>
      </w:r>
    </w:p>
    <w:p>
      <w:pPr>
        <w:pStyle w:val="Heading2"/>
      </w:pPr>
      <w:r>
        <w:t>Frühe Palliativversorgung für afroamerikanische und rural wohnhafte Angehörige: Langzeitergebnisse</w:t>
      </w:r>
    </w:p>
    <w:p>
      <w:r>
        <w:rPr>
          <w:i/>
          <w:color w:val="666666"/>
          <w:sz w:val="18"/>
        </w:rPr>
        <w:t>Odom JN et al.  ·  J Natl Cancer Inst  ·  24.09.2026  ·  PMID 42786668</w:t>
      </w:r>
    </w:p>
    <w:p>
      <w:r>
        <w:t>Randomisierte Studie (ENABLE Cornerstone) bei 222 Angehörigen und 165 Patienten mit fortgeschrittenem Krebsleiden; Intervention: Laienkurs-geführte Palliativberatung für Pflegepersonen vs. Standardversorgung über 36–48 Wochen.</w:t>
      </w:r>
    </w:p>
    <w:p>
      <w:r>
        <w:rPr>
          <w:b/>
        </w:rPr>
        <w:t xml:space="preserve">Ergebnis: </w:t>
      </w:r>
      <w:r>
        <w:t>Pflegepersonen der Interventionsgruppe: niedrigere Anforderungsbelastung (Differenz −1,54; Cohen's d −0,41; p = 0,03) bei 36 Wochen. Patienten: niedriger depressive Symptome bei 36 Wochen (Differenz −1,53; p = 0,048) und bessere körperliche Lebensqualität bei 48 Wochen (Differenz +3,93; p = 0,02). Effekte bei Subgruppen mit strukturellen Zugangsbarrieren bedeutsam.</w:t>
      </w:r>
    </w:p>
    <w:p>
      <w:r>
        <w:rPr>
          <w:b/>
          <w:sz w:val="19"/>
        </w:rPr>
        <w:t xml:space="preserve">Übertragbarkeit: </w:t>
      </w:r>
      <w:r>
        <w:rPr>
          <w:sz w:val="19"/>
        </w:rPr>
        <w:t>USA, unterrepräsentierte Bevölkerungsgruppen; Modell für deutsche Versorgungslücken anwendbar.</w:t>
      </w:r>
    </w:p>
    <w:p>
      <w:r>
        <w:rPr>
          <w:color w:val="5A7D3A"/>
          <w:sz w:val="18"/>
        </w:rPr>
        <w:t>https://pubmed.ncbi.nlm.nih.gov/42786668/</w:t>
      </w:r>
    </w:p>
    <w:p>
      <w:pPr>
        <w:pStyle w:val="Heading2"/>
      </w:pPr>
      <w:r>
        <w:t>Keramidsynthese und YAP-Signalweg treiben Kolonkarzinom-Metastasen</w:t>
      </w:r>
    </w:p>
    <w:p>
      <w:r>
        <w:rPr>
          <w:i/>
          <w:color w:val="666666"/>
          <w:sz w:val="18"/>
        </w:rPr>
        <w:t>Goswami S et al.  ·  Science  ·  24.09.2026  ·  PMID 42784694</w:t>
      </w:r>
    </w:p>
    <w:p>
      <w:r>
        <w:t>Mechanistische Studie in Zellsystemen und Tiermodellen zur Rolle von de-novo-Keramidsynthese, Desaturase Degs1 und YAP-Signalweg in der Initiierung von Kolorektalkarzinom-Metastasen unter Einfluss diätetischen Fetts.</w:t>
      </w:r>
    </w:p>
    <w:p>
      <w:r>
        <w:rPr>
          <w:b/>
        </w:rPr>
        <w:t xml:space="preserve">Ergebnis: </w:t>
      </w:r>
      <w:r>
        <w:t>Dietäres Fett löst anhaltende Keramidakkumulation aus → YAP-Aktivierung über PP2A-Dephosphorylierung → YAP-DR-Programm mit Basp1-Expression. Degs1-Knockout reduzierten Keramidspiegel, YAP-Aktivität und Metastasierung ohne Primärtumor-Wachstum zu beeinflussen. Basp1-high-Zellen waren erforderlich für Metastasierungsseeding.</w:t>
      </w:r>
    </w:p>
    <w:p>
      <w:r>
        <w:rPr>
          <w:b/>
          <w:sz w:val="19"/>
        </w:rPr>
        <w:t xml:space="preserve">Übertragbarkeit: </w:t>
      </w:r>
      <w:r>
        <w:rPr>
          <w:sz w:val="19"/>
        </w:rPr>
        <w:t>USA-Daten, Grundlagenarbeit; therapeutisches Ansatzpotential (Keramid-Inhibition) für klinische Translation.</w:t>
      </w:r>
    </w:p>
    <w:p>
      <w:r>
        <w:rPr>
          <w:color w:val="5A7D3A"/>
          <w:sz w:val="18"/>
        </w:rPr>
        <w:t>https://pubmed.ncbi.nlm.nih.gov/42784694/</w:t>
      </w:r>
    </w:p>
    <w:p>
      <w:pPr>
        <w:pStyle w:val="Heading2"/>
      </w:pPr>
      <w:r>
        <w:t>IDH-mutantes Gliom: Hirngeometrie und Hypoxie strukturieren Tumororganisation</w:t>
      </w:r>
    </w:p>
    <w:p>
      <w:r>
        <w:rPr>
          <w:i/>
          <w:color w:val="666666"/>
          <w:sz w:val="18"/>
        </w:rPr>
        <w:t>Hoefflin R et al.  ·  Cancer Cell  ·  14.09.2026  ·  PMID 42735681</w:t>
      </w:r>
    </w:p>
    <w:p>
      <w:r>
        <w:t>Räumlich-translationale Studie kombiniert Einzelzell-Proteomik und räumliche Transkriptomik bei IDH-mutierten Gliomen über alle Tumorgrade hinweg, um organisatorische Prinzipien von Tumorprogression zu identifizieren.</w:t>
      </w:r>
    </w:p>
    <w:p>
      <w:r>
        <w:rPr>
          <w:b/>
        </w:rPr>
        <w:t xml:space="preserve">Ergebnis: </w:t>
      </w:r>
      <w:r>
        <w:t>Frühe Tumore: anatomisch-getriebene Organisation an weiß-grauer Substanzgrenze, Oligodendrozyten-Vorläufer (OPC)-ähnliche Zellen preferenziell dort selektioniert. Intermediate Tumore: Desorganisation mit wenigen Zell-Wechselwirkungen. Hochtgradige: Hypoxie-assoziierte Struktur ähnlich IDH-Wildtyp-Glioblastom. Zwei unabhängige räumliche Organisationsachsen.</w:t>
      </w:r>
    </w:p>
    <w:p>
      <w:r>
        <w:rPr>
          <w:b/>
          <w:sz w:val="19"/>
        </w:rPr>
        <w:t xml:space="preserve">Übertragbarkeit: </w:t>
      </w:r>
      <w:r>
        <w:rPr>
          <w:sz w:val="19"/>
        </w:rPr>
        <w:t>Europäisch-israelische Kooperation, Grundlagen für Zielpriorisierung bei Gliom-Therapie.</w:t>
      </w:r>
    </w:p>
    <w:p>
      <w:r>
        <w:rPr>
          <w:color w:val="5A7D3A"/>
          <w:sz w:val="18"/>
        </w:rPr>
        <w:t>https://pubmed.ncbi.nlm.nih.gov/42735681/</w:t>
      </w:r>
    </w:p>
    <w:p>
      <w:pPr>
        <w:pStyle w:val="Heading1"/>
      </w:pPr>
      <w:r>
        <w:t>Aufgenommen am 25.09.2026</w:t>
      </w:r>
    </w:p>
    <w:p>
      <w:pPr>
        <w:pStyle w:val="Heading2"/>
      </w:pPr>
      <w:r>
        <w:t>Adaptive Hoffnung in der Onkologie – Klinischer Rahmen für patientenzentrierte Kommunikation</w:t>
      </w:r>
    </w:p>
    <w:p>
      <w:r>
        <w:rPr>
          <w:i/>
          <w:color w:val="666666"/>
          <w:sz w:val="18"/>
        </w:rPr>
        <w:t>Cherny NI et al.  ·  ESMO Open  ·  24.07.2026  ·  PMID 42785913</w:t>
      </w:r>
    </w:p>
    <w:p>
      <w:r>
        <w:t>Narrative Übersichtsarbeit (Synthesis empirischer und konzeptioneller Literatur): Hope und Despair als zentrale, oft ko-existierende Dimensionen der Krebserfahrung – ihre Determinanten, klinischen Manifestationen und Implikationen für Kommunikation und Entscheidungsfindung über die Krankheitstrajectory.</w:t>
      </w:r>
    </w:p>
    <w:p>
      <w:r>
        <w:rPr>
          <w:b/>
        </w:rPr>
        <w:t xml:space="preserve">Ergebnis: </w:t>
      </w:r>
      <w:r>
        <w:t>Hoffnung ist dynamisches, multidimensionales Konstrukt, das sich über Zeit evolves – initial auf Heilung ausgerichtet, rekalibriert oft zu erreichbaren Zielen (Symptomkontrolle, Funktion, Sinnstiftung, Würde, spiritueller Frieden). Adaptive, realitätskongruente Hoffnung durch ehrliche, mitfühlende, relational fundierte Kommunikation nachhaltig. Klinische Competency: Psychospiritual-, Relational-, interdisziplinäre Approaches (empathische Kommunikation, Symptommanagement, Meaning-Centered Interventions, Dignity-Conserving Care).</w:t>
      </w:r>
    </w:p>
    <w:p>
      <w:r>
        <w:rPr>
          <w:b/>
          <w:sz w:val="19"/>
        </w:rPr>
        <w:t xml:space="preserve">Übertragbarkeit: </w:t>
      </w:r>
      <w:r>
        <w:rPr>
          <w:sz w:val="19"/>
        </w:rPr>
        <w:t>Internationale Expert-Synthesis, direkt auf deutsches Gesundheitssystem übertragbar.</w:t>
      </w:r>
    </w:p>
    <w:p>
      <w:r>
        <w:rPr>
          <w:color w:val="5A7D3A"/>
          <w:sz w:val="18"/>
        </w:rPr>
        <w:t>https://pubmed.ncbi.nlm.nih.gov/42785913/</w:t>
      </w:r>
    </w:p>
    <w:p>
      <w:pPr>
        <w:pStyle w:val="Heading2"/>
      </w:pPr>
      <w:r>
        <w:t>Trastuzumab emtansine bei HER2+ extramammärer Paget-Erkrankung – 92,9% Ansprechrate</w:t>
      </w:r>
    </w:p>
    <w:p>
      <w:r>
        <w:rPr>
          <w:i/>
          <w:color w:val="666666"/>
          <w:sz w:val="18"/>
        </w:rPr>
        <w:t>Arakawa S et al.  ·  ESMO Open  ·  21.07.2026  ·  PMID 42785912</w:t>
      </w:r>
    </w:p>
    <w:p>
      <w:r>
        <w:t>Phase-II-Studie TEMENOS-2: 14 japanische Patienten mit HER2-positivem metastasiertem Paget-Karzinom (extramammär), Firstline Trastuzumab emtansine 3,6 mg/kg alle 3 Wochen bis 2 Jahre.</w:t>
      </w:r>
    </w:p>
    <w:p>
      <w:r>
        <w:rPr>
          <w:b/>
        </w:rPr>
        <w:t xml:space="preserve">Ergebnis: </w:t>
      </w:r>
      <w:r>
        <w:t>Objektive Ansprechquote (zentrale Bewertung) 92,9% [95% CI 66,1%–99,8%]: 2 komplette, 11 partielle Remissionen, 1 Progression. Median-PFS 16,95 Monate [95% CI 5,75–n.e.]. Median-OS nicht erreicht. Grade-3-Nebenwirkungen in 42,9%, keine ≥4. Erste prospektive Evidenz für HER2-dirigierte ADC in dieser Entität.</w:t>
      </w:r>
    </w:p>
    <w:p>
      <w:r>
        <w:rPr>
          <w:b/>
          <w:sz w:val="19"/>
        </w:rPr>
        <w:t xml:space="preserve">Übertragbarkeit: </w:t>
      </w:r>
      <w:r>
        <w:rPr>
          <w:sz w:val="19"/>
        </w:rPr>
        <w:t>Japanische Studie, kleine Fallzahl (n=14); für Deutschland Übertragbarkeit HER2+ seltene Tumoren.</w:t>
      </w:r>
    </w:p>
    <w:p>
      <w:r>
        <w:rPr>
          <w:color w:val="5A7D3A"/>
          <w:sz w:val="18"/>
        </w:rPr>
        <w:t>https://pubmed.ncbi.nlm.nih.gov/42785912/</w:t>
      </w:r>
    </w:p>
    <w:p>
      <w:pPr>
        <w:pStyle w:val="Heading2"/>
      </w:pPr>
      <w:r>
        <w:t>Atezolizumab plus pertuzumab, trastuzumab, Chemotherapie – kein Vorteil für Gesamtüberleben</w:t>
      </w:r>
    </w:p>
    <w:p>
      <w:r>
        <w:rPr>
          <w:i/>
          <w:color w:val="666666"/>
          <w:sz w:val="18"/>
        </w:rPr>
        <w:t>Huober J et al.  ·  ESMO Open  ·  24.09.2026  ·  PMID 42785163</w:t>
      </w:r>
    </w:p>
    <w:p>
      <w:r>
        <w:t>Phase-III-Studie (IMpassion050): Neoadjuvante Atezolizumab-Addition zur Standard-Therapie bei HER2-positivem Frühbrustkrebs hohen Risikos – Intention-to-treat und PD-L1-positive Kohorte.</w:t>
      </w:r>
    </w:p>
    <w:p>
      <w:r>
        <w:rPr>
          <w:b/>
        </w:rPr>
        <w:t xml:space="preserve">Ergebnis: </w:t>
      </w:r>
      <w:r>
        <w:t>3-Jahres-Event-Free-Survival 91,4% (Atezolizumab) vs 89,0% (Placebo); Hazard Ratio 0,90 [95% CI 0,50–1,59]; 3-Jahres-Disease-Free-Survival 92,9% vs 88,5% (HR 0,71 [95% CI 0,38–1,32]). Keine signifikanten Unterschiede. Immuntherapie-assoziierte unerwünschte Ereignisse häufiger (59,4% vs 47,0%).</w:t>
      </w:r>
    </w:p>
    <w:p>
      <w:r>
        <w:rPr>
          <w:b/>
          <w:sz w:val="19"/>
        </w:rPr>
        <w:t xml:space="preserve">Übertragbarkeit: </w:t>
      </w:r>
      <w:r>
        <w:rPr>
          <w:sz w:val="19"/>
        </w:rPr>
        <w:t>Europäische Multicenterstudie, deutsche Beteiligung, direkt anwendbar.</w:t>
      </w:r>
    </w:p>
    <w:p>
      <w:r>
        <w:rPr>
          <w:color w:val="5A7D3A"/>
          <w:sz w:val="18"/>
        </w:rPr>
        <w:t>https://pubmed.ncbi.nlm.nih.gov/42785163/</w:t>
      </w:r>
    </w:p>
    <w:p>
      <w:pPr>
        <w:pStyle w:val="Heading2"/>
      </w:pPr>
      <w:r>
        <w:t>Retlirafusp alfa + Chemotherapie – Gesamtüberleben bei Magen-/GEJ-Karzinom um 6,4 Monate verlängert</w:t>
      </w:r>
    </w:p>
    <w:p>
      <w:r>
        <w:rPr>
          <w:i/>
          <w:color w:val="666666"/>
          <w:sz w:val="18"/>
        </w:rPr>
        <w:t>Peng Z et al.  ·  J Clin Oncol  ·  24.09.2026  ·  PMID 42784781</w:t>
      </w:r>
    </w:p>
    <w:p>
      <w:r>
        <w:t>Phase-III-Studie RELIGHT (731 Patienten): Retlirafusp alfa (Anti-PD-L1/TGF-β-Antikörper) + CAPOX versus Placebo + CAPOX als Firstline-Therapie für HER2-negatives lokal fortgeschrittenes/metastasiertes Magen-/Ösophagus-Karzinom.</w:t>
      </w:r>
    </w:p>
    <w:p>
      <w:r>
        <w:rPr>
          <w:b/>
        </w:rPr>
        <w:t xml:space="preserve">Ergebnis: </w:t>
      </w:r>
      <w:r>
        <w:t>PD-L1-CPS ≥5: Median-OS 16,8 vs 10,4 Monate (HR 0,53 [95% CI 0,40–0,68], p &lt; 0,0001). ITT-Analyse: 15,8 vs 11,2 Monate (HR 0,66 [95% CI 0,53–0,81], p &lt; 0,0001). Median-PFS 7,6 vs 5,5 Monate (HR 0,52). Toxizität vergleichbar (Grade ≥3: 62,6% vs 59,0%).</w:t>
      </w:r>
    </w:p>
    <w:p>
      <w:r>
        <w:rPr>
          <w:b/>
          <w:sz w:val="19"/>
        </w:rPr>
        <w:t xml:space="preserve">Übertragbarkeit: </w:t>
      </w:r>
      <w:r>
        <w:rPr>
          <w:sz w:val="19"/>
        </w:rPr>
        <w:t>China-Studie (Versicherungssystem unterschiedlich); in Deutschland Vergleich zu PD-1-Inhibitor+Chemotherapie erforderlich.</w:t>
      </w:r>
    </w:p>
    <w:p>
      <w:r>
        <w:rPr>
          <w:color w:val="5A7D3A"/>
          <w:sz w:val="18"/>
        </w:rPr>
        <w:t>https://pubmed.ncbi.nlm.nih.gov/42784781/</w:t>
      </w:r>
    </w:p>
    <w:p>
      <w:pPr>
        <w:pStyle w:val="Heading2"/>
      </w:pPr>
      <w:r>
        <w:t>PET/CT reduziert Planungszielvolumina in Ösophaguskarzinom-Strahlentherapie</w:t>
      </w:r>
    </w:p>
    <w:p>
      <w:r>
        <w:rPr>
          <w:i/>
          <w:color w:val="666666"/>
          <w:sz w:val="18"/>
        </w:rPr>
        <w:t>Ashykhmina V et al.  ·  Strahlenther Onkol  ·  24.09.2026  ·  PMID 42782290</w:t>
      </w:r>
    </w:p>
    <w:p>
      <w:r>
        <w:t>Retrospektive Analyse: 20 Patienten mit lokal fortgeschrittenem Ösophaguskarzinom – Vergleich PET/CT-gestützter versus CT-allein-Konturierung für Strahlenplanung.</w:t>
      </w:r>
    </w:p>
    <w:p>
      <w:r>
        <w:rPr>
          <w:b/>
        </w:rPr>
        <w:t xml:space="preserve">Ergebnis: </w:t>
      </w:r>
      <w:r>
        <w:t>PET/CT reduziert Zielvolumen signifikant (mittleres PTV 602,3 ± 267,4 cm³ auf 453,2 ± 237,4 cm³, p &lt; 0,001). Lungen-V20 sank von 10,39 ± 1,23% auf 7,85 ± 1,18% (p = 0,001). Geometrische Unterschiede &gt;100 cm³ in 20% der Fälle. Interobserver-Variabilität beim PET/CT-Targeting niedriger.</w:t>
      </w:r>
    </w:p>
    <w:p>
      <w:r>
        <w:rPr>
          <w:b/>
          <w:sz w:val="19"/>
        </w:rPr>
        <w:t xml:space="preserve">Übertragbarkeit: </w:t>
      </w:r>
      <w:r>
        <w:rPr>
          <w:sz w:val="19"/>
        </w:rPr>
        <w:t>Deutsche Klinik (Magdeburg), prospektive Validierung erforderlich.</w:t>
      </w:r>
    </w:p>
    <w:p>
      <w:r>
        <w:rPr>
          <w:color w:val="5A7D3A"/>
          <w:sz w:val="18"/>
        </w:rPr>
        <w:t>https://pubmed.ncbi.nlm.nih.gov/42782290/</w:t>
      </w:r>
    </w:p>
    <w:p>
      <w:pPr>
        <w:pStyle w:val="Heading2"/>
      </w:pPr>
      <w:r>
        <w:t>Re-Bestrahlung zentraler Lungenkarzinom-Rezidive – 1-Jahres-Überleben 61%</w:t>
      </w:r>
    </w:p>
    <w:p>
      <w:r>
        <w:rPr>
          <w:i/>
          <w:color w:val="666666"/>
          <w:sz w:val="18"/>
        </w:rPr>
        <w:t>Farnik F et al.  ·  Strahlenther Onkol  ·  24.09.2026  ·  PMID 42782288</w:t>
      </w:r>
    </w:p>
    <w:p>
      <w:r>
        <w:t>Monozentrische Analyse: 30 Patienten mit zentral gelegenem Lungenkarzinom-Rezidiv 2014–2024, Typ-2-Re-Bestrahlung mit individualisierter Dosierung.</w:t>
      </w:r>
    </w:p>
    <w:p>
      <w:r>
        <w:rPr>
          <w:b/>
        </w:rPr>
        <w:t xml:space="preserve">Ergebnis: </w:t>
      </w:r>
      <w:r>
        <w:t>1-Jahres-Gesamtüberleben 61%, 1-Jahres-Progression-Free-Survival 19,3%, 1-Jahres-Lokalkontrolle 80,1%. Mediane EQD2 49,5 Gy. Nur ein Fall Grade-3-Spätkomplikation (Ösophagusstenose), gute Verträglichkeit. Alter &gt;65 Jahre einziger unabhängiger Prognosefaktor für besseres PFS.</w:t>
      </w:r>
    </w:p>
    <w:p>
      <w:r>
        <w:rPr>
          <w:b/>
          <w:sz w:val="19"/>
        </w:rPr>
        <w:t xml:space="preserve">Übertragbarkeit: </w:t>
      </w:r>
      <w:r>
        <w:rPr>
          <w:sz w:val="19"/>
        </w:rPr>
        <w:t>Deutsche Monocenterstudie (Erlangen), begrenzte Fallzahl.</w:t>
      </w:r>
    </w:p>
    <w:p>
      <w:r>
        <w:rPr>
          <w:color w:val="5A7D3A"/>
          <w:sz w:val="18"/>
        </w:rPr>
        <w:t>https://pubmed.ncbi.nlm.nih.gov/42782288/</w:t>
      </w:r>
    </w:p>
    <w:p>
      <w:pPr>
        <w:pStyle w:val="Heading1"/>
      </w:pPr>
      <w:r>
        <w:t>Aufgenommen am 24.09.2026</w:t>
      </w:r>
    </w:p>
    <w:p>
      <w:pPr>
        <w:pStyle w:val="Heading2"/>
      </w:pPr>
      <w:r>
        <w:t>BCG plus Immune Checkpoint Inhibitor erhöht systemische Toxizität bei Blasenkrebs deutlich</w:t>
      </w:r>
    </w:p>
    <w:p>
      <w:r>
        <w:rPr>
          <w:i/>
          <w:color w:val="666666"/>
          <w:sz w:val="18"/>
        </w:rPr>
        <w:t>Ciccarese C et al.  ·  ESMO Open  ·  23.09.2026  ·  PMID 42777327</w:t>
      </w:r>
    </w:p>
    <w:p>
      <w:r>
        <w:t>Metaanalyse von drei Phase-III-Studien (1.895 Patienten) zur Sicherheit intravesikaler BCG-Immunchemotherapie gegenüber BCG allein bei nicht-muskelinvasivem Harnblasenkarzinom.</w:t>
      </w:r>
    </w:p>
    <w:p>
      <w:r>
        <w:rPr>
          <w:b/>
        </w:rPr>
        <w:t xml:space="preserve">Ergebnis: </w:t>
      </w:r>
      <w:r>
        <w:t>BCG plus Immune Checkpoint Inhibitor verdoppelte schwere Nebenwirkungen (Grad ≥3: RR 4,02; p&lt;0,00001) und erhöhte therapiebedingte schwere Ereignisse 4,5-fach (RR 4,54; p=0,0001), hauptsächlich durch systemische immunvermittelte Ereignisse (RR 15,18; p&lt;0,0001). Lokale Blasensymptome ähnlich zwischen Gruppen.</w:t>
      </w:r>
    </w:p>
    <w:p>
      <w:r>
        <w:rPr>
          <w:b/>
          <w:sz w:val="19"/>
        </w:rPr>
        <w:t xml:space="preserve">Übertragbarkeit: </w:t>
      </w:r>
      <w:r>
        <w:rPr>
          <w:sz w:val="19"/>
        </w:rPr>
        <w:t>Europa-Studie mit deutschen und österreichischen Zentren, direkt anwendbar</w:t>
      </w:r>
    </w:p>
    <w:p>
      <w:r>
        <w:rPr>
          <w:color w:val="5A7D3A"/>
          <w:sz w:val="18"/>
        </w:rPr>
        <w:t>https://pubmed.ncbi.nlm.nih.gov/42777327/</w:t>
      </w:r>
    </w:p>
    <w:p>
      <w:pPr>
        <w:pStyle w:val="Heading2"/>
      </w:pPr>
      <w:r>
        <w:t>FLOT plus Nivolumab bei Magenkrebs: Monozyten-Lymphozyten-Ratio identifiziert Profiteure</w:t>
      </w:r>
    </w:p>
    <w:p>
      <w:r>
        <w:rPr>
          <w:i/>
          <w:color w:val="666666"/>
          <w:sz w:val="18"/>
        </w:rPr>
        <w:t>Masetti M et al.  ·  Eur J Cancer  ·  10.09.2026  ·  PMID 42777290</w:t>
      </w:r>
    </w:p>
    <w:p>
      <w:r>
        <w:t>Extended Follow-up einer deutschen Multizenterstudie (Arm C: 52 Patienten mit metastasiertem gastroösophagealem Adenokarzinom) zu FLOT-Chemotherapie plus Nivolumab mit Biomarker-Stratifizierung.</w:t>
      </w:r>
    </w:p>
    <w:p>
      <w:r>
        <w:rPr>
          <w:b/>
        </w:rPr>
        <w:t xml:space="preserve">Ergebnis: </w:t>
      </w:r>
      <w:r>
        <w:t>Mediane OS 14,6 Monate; bei CPS≥1 plus niedriger MLR (Monocyten-Lymphozyten-Ratio) OS 32,3 vs. 7,4 Monate (p=0,044). NLR und MLR korrelierten mit Überleben; Schmerz verbesserte sich, Müdigkeit und körperliche Funktionsfähigkeit verschlechterten sich.</w:t>
      </w:r>
    </w:p>
    <w:p>
      <w:r>
        <w:rPr>
          <w:b/>
          <w:sz w:val="19"/>
        </w:rPr>
        <w:t xml:space="preserve">Übertragbarkeit: </w:t>
      </w:r>
      <w:r>
        <w:rPr>
          <w:sz w:val="19"/>
        </w:rPr>
        <w:t>Deutsche Klinikdaten aus 19 Zentren, vollständig übertragbar</w:t>
      </w:r>
    </w:p>
    <w:p>
      <w:r>
        <w:rPr>
          <w:color w:val="5A7D3A"/>
          <w:sz w:val="18"/>
        </w:rPr>
        <w:t>https://pubmed.ncbi.nlm.nih.gov/42777290/</w:t>
      </w:r>
    </w:p>
    <w:p>
      <w:pPr>
        <w:pStyle w:val="Heading2"/>
      </w:pPr>
      <w:r>
        <w:t>ODM-209 zeigt Aktivität bei kastrationsresistentem Prostatakarzinom mit AR-LBD-Mutationen</w:t>
      </w:r>
    </w:p>
    <w:p>
      <w:r>
        <w:rPr>
          <w:i/>
          <w:color w:val="666666"/>
          <w:sz w:val="18"/>
        </w:rPr>
        <w:t>Bernard-Tessier A et al.  ·  Eur J Cancer  ·  12.09.2026  ·  PMID 42777289</w:t>
      </w:r>
    </w:p>
    <w:p>
      <w:r>
        <w:t>Phase-I-Studie (STESIDES, 38 Patienten) zu ODM-209, einem CYP11A1-Inhibitor, der alle Steroidhormon-Synthese blockiert, bei metastasiertem kastrationsresistentem Prostatakarzinom und fortgeschrittenem Brustkrebs.</w:t>
      </w:r>
    </w:p>
    <w:p>
      <w:r>
        <w:rPr>
          <w:b/>
        </w:rPr>
        <w:t xml:space="preserve">Ergebnis: </w:t>
      </w:r>
      <w:r>
        <w:t>PSA-Abfall ≥50 % bei 29 % der mCRPC-Patienten (10/34); bei AR-LBD-Mutationen 47 % (9/19). Partielle klinische Remission bei 19 % (3/16). Häufigste Nebenwirkungen: Müdigkeit (53 %), periphere Ödeme (34 %); 8 % erlebten schwere Nebenwirkungen, 3 Fälle ernsthafte Nebenniereninsuffizienz (eine davon DLT).</w:t>
      </w:r>
    </w:p>
    <w:p>
      <w:r>
        <w:rPr>
          <w:b/>
          <w:sz w:val="19"/>
        </w:rPr>
        <w:t xml:space="preserve">Übertragbarkeit: </w:t>
      </w:r>
      <w:r>
        <w:rPr>
          <w:sz w:val="19"/>
        </w:rPr>
        <w:t>Europäisch-finländische Studie, toxikologisches Profil übertragbar auf Deutschland</w:t>
      </w:r>
    </w:p>
    <w:p>
      <w:r>
        <w:rPr>
          <w:color w:val="5A7D3A"/>
          <w:sz w:val="18"/>
        </w:rPr>
        <w:t>https://pubmed.ncbi.nlm.nih.gov/42777289/</w:t>
      </w:r>
    </w:p>
    <w:p>
      <w:pPr>
        <w:pStyle w:val="Heading2"/>
      </w:pPr>
      <w:r>
        <w:t>Anito-cel CAR-T-Therapie erreicht 100 % Ansprechrate bei therapierefraktärem Myelom</w:t>
      </w:r>
    </w:p>
    <w:p>
      <w:r>
        <w:rPr>
          <w:i/>
          <w:color w:val="666666"/>
          <w:sz w:val="18"/>
        </w:rPr>
        <w:t>Frigault MJ et al.  ·  N Engl J Med  ·  24.09.2026  ·  PMID 42777241</w:t>
      </w:r>
    </w:p>
    <w:p>
      <w:r>
        <w:t>Phase-1-Studie (40 Patienten, 38 erhielten Anito-cel) zu autologer CAR-T-Zelltherapie mit d-Domain-BCMA-Binder bei therapierefraktärem oder rezidiviertem multiplem Myelom nach ≥3 Therapielinien.</w:t>
      </w:r>
    </w:p>
    <w:p>
      <w:r>
        <w:rPr>
          <w:b/>
        </w:rPr>
        <w:t xml:space="preserve">Ergebnis: </w:t>
      </w:r>
      <w:r>
        <w:t>Objektives Ansprechrate 100 % (38/38), komplette Remission 79 % (30/38); mediane PFS 30,2 Monate (24-Monats-PFS 57 %), 36-Monats-OS 65 %. CRS Grad 1–2 bei 94 % (beim empfohlenen Dosis-Level), kein Grad-≥3-CRS. ICANS Grad 1–2 bei 16 %, Grad 3 bei 3 % (1 Patient). Keine Neurotoxizität oder Off-Target-Effekte.</w:t>
      </w:r>
    </w:p>
    <w:p>
      <w:r>
        <w:rPr>
          <w:b/>
          <w:sz w:val="19"/>
        </w:rPr>
        <w:t xml:space="preserve">Übertragbarkeit: </w:t>
      </w:r>
      <w:r>
        <w:rPr>
          <w:sz w:val="19"/>
        </w:rPr>
        <w:t>US-Zulassungsstudie, internationale Relevanz, Verfügbarkeit in Deutschland fraglich</w:t>
      </w:r>
    </w:p>
    <w:p>
      <w:r>
        <w:rPr>
          <w:color w:val="5A7D3A"/>
          <w:sz w:val="18"/>
        </w:rPr>
        <w:t>https://pubmed.ncbi.nlm.nih.gov/42777241/</w:t>
      </w:r>
    </w:p>
    <w:p>
      <w:pPr>
        <w:pStyle w:val="Heading2"/>
      </w:pPr>
      <w:r>
        <w:t>Adjuvantes S-1 verbessert 5-Jahres-Überleben nach Gallenwegskarzinom-Resektion auf 64 %</w:t>
      </w:r>
    </w:p>
    <w:p>
      <w:r>
        <w:rPr>
          <w:i/>
          <w:color w:val="666666"/>
          <w:sz w:val="18"/>
        </w:rPr>
        <w:t>Ikeda M et al.  ·  J Clin Oncol  ·  23.09.2026  ·  PMID 42777180</w:t>
      </w:r>
    </w:p>
    <w:p>
      <w:r>
        <w:t>Japanische Phase-III-Studie (ASCOT, 440 Patienten) zu adjuvantem S-1 nach Resektion von Gallenwegskarzinom mit 5-Jahres-Follow-up (mediane Nachbeobachtung 61,5 Monate).</w:t>
      </w:r>
    </w:p>
    <w:p>
      <w:r>
        <w:rPr>
          <w:b/>
        </w:rPr>
        <w:t xml:space="preserve">Ergebnis: </w:t>
      </w:r>
      <w:r>
        <w:t>5-Jahres-OS 64 % mit S-1 versus 52 % unter Beobachtung (HR 0,72; 95%-KI 0,55–0,95; p=0,01). Mediane OS 8,2 versus 5,9 Jahre. Mediane RFS 3,5 (S-1) versus 6,1 Jahre (Beobachtung). Behandlungseffekt über Subgruppen konsistent.</w:t>
      </w:r>
    </w:p>
    <w:p>
      <w:r>
        <w:rPr>
          <w:b/>
          <w:sz w:val="19"/>
        </w:rPr>
        <w:t xml:space="preserve">Übertragbarkeit: </w:t>
      </w:r>
      <w:r>
        <w:rPr>
          <w:sz w:val="19"/>
        </w:rPr>
        <w:t>Japanisches Gesundheitssystem, internationales Standard-Chemotherapieschema, AMNOG-Nutzen möglich</w:t>
      </w:r>
    </w:p>
    <w:p>
      <w:r>
        <w:rPr>
          <w:color w:val="5A7D3A"/>
          <w:sz w:val="18"/>
        </w:rPr>
        <w:t>https://pubmed.ncbi.nlm.nih.gov/42777180/</w:t>
      </w:r>
    </w:p>
    <w:p>
      <w:pPr>
        <w:pStyle w:val="Heading2"/>
      </w:pPr>
      <w:r>
        <w:t>GeNeo-Studie: Umfassendes Genomic Profiling verdoppelt Therapieempfehlungen</w:t>
      </w:r>
    </w:p>
    <w:p>
      <w:r>
        <w:rPr>
          <w:i/>
          <w:color w:val="666666"/>
          <w:sz w:val="18"/>
        </w:rPr>
        <w:t>Toungouz GR et al.  ·  Eur J Cancer  ·  03.06.2026  ·  PMID 42773586</w:t>
      </w:r>
    </w:p>
    <w:p>
      <w:r>
        <w:t>Belgische Studie an 1.000 metastasierten oder lokal fortgeschrittenen Krebspatienten, Vergleich umfassendes Genomic Profiling (CGP) versus beschränkte lokale NGS-Panels im Rahmen der belgischen Präzisionsmedizin-Initiative.</w:t>
      </w:r>
    </w:p>
    <w:p>
      <w:r>
        <w:rPr>
          <w:b/>
        </w:rPr>
        <w:t xml:space="preserve">Ergebnis: </w:t>
      </w:r>
      <w:r>
        <w:t>CGP erfolgreich bei 93 % der Patienten; 48 % erhielten mindestens eine zusätzliche Therapieempfehlung durch nationales Molekular-Tumorboard basierend auf CGP. 61 % aller Patienten erhielten CGP-basierte Empfehlungen; 23 % davon erhalten die empfohlene Therapie (Blockage: Nichtverfügbarkeit 25 %, klinische Verschlechterung 24 %, Patientenwahl 17 %).</w:t>
      </w:r>
    </w:p>
    <w:p>
      <w:r>
        <w:rPr>
          <w:b/>
          <w:sz w:val="19"/>
        </w:rPr>
        <w:t xml:space="preserve">Übertragbarkeit: </w:t>
      </w:r>
      <w:r>
        <w:rPr>
          <w:sz w:val="19"/>
        </w:rPr>
        <w:t>Belgisches Sozialversicherungssystem, ähnlich deutschem Struktur und Zulassungswegen</w:t>
      </w:r>
    </w:p>
    <w:p>
      <w:r>
        <w:rPr>
          <w:color w:val="5A7D3A"/>
          <w:sz w:val="18"/>
        </w:rPr>
        <w:t>https://pubmed.ncbi.nlm.nih.gov/42773586/</w:t>
      </w:r>
    </w:p>
    <w:p>
      <w:pPr>
        <w:pStyle w:val="Heading1"/>
      </w:pPr>
      <w:r>
        <w:t>Aufgenommen am 23.09.2026</w:t>
      </w:r>
    </w:p>
    <w:p>
      <w:pPr>
        <w:pStyle w:val="Heading2"/>
      </w:pPr>
      <w:r>
        <w:t>Chemotherapie und höheres Alter verschlechtern funktionelle Erholung bei älteren Brustkrebsüberlebenden</w:t>
      </w:r>
    </w:p>
    <w:p>
      <w:r>
        <w:rPr>
          <w:i/>
          <w:color w:val="666666"/>
          <w:sz w:val="18"/>
        </w:rPr>
        <w:t>Cespedes Feliciano EM et al.  ·  J Natl Cancer Inst  ·  23.09.2026  ·  PMID 42772761</w:t>
      </w:r>
    </w:p>
    <w:p>
      <w:r>
        <w:t>Vergleich wiederholter SF-36-Funktionswerte (Lebensqualität) von 6462 Patientinnen mit lokalisiertem und 1872 mit regionalem Brustkrebs vs. 37 196 krebsfreie altersgerechte Kontrollen über 15 Jahre aus der Women's Health Initiative.</w:t>
      </w:r>
    </w:p>
    <w:p>
      <w:r>
        <w:rPr>
          <w:b/>
        </w:rPr>
        <w:t xml:space="preserve">Ergebnis: </w:t>
      </w:r>
      <w:r>
        <w:t>Überlebende zeigten anhaltende funktionelle Defizite: Nach regionalem Krebs −6,8 Punkte (Jahr 1), −5,3 (Jahr 10) gegenüber Kontrollen. Chemotherapie verschärfte frühe Rückgänge (−7,1 Jahr 1). Frauen unter 70 Jahren zeigten bessere Erholung. Bessere Prediagnose-Lebensstiländerungen korrelierten mit größerer funktioneller Reserve und Erholungsfähigkeit.</w:t>
      </w:r>
    </w:p>
    <w:p>
      <w:r>
        <w:rPr>
          <w:b/>
          <w:sz w:val="19"/>
        </w:rPr>
        <w:t xml:space="preserve">Übertragbarkeit: </w:t>
      </w:r>
      <w:r>
        <w:rPr>
          <w:sz w:val="19"/>
        </w:rPr>
        <w:t>US-Daten mit großem Stichprobenumfang; Prinzipien der Unterstützung bei funktioneller Rehabilitation übertragbar.</w:t>
      </w:r>
    </w:p>
    <w:p>
      <w:r>
        <w:rPr>
          <w:color w:val="5A7D3A"/>
          <w:sz w:val="18"/>
        </w:rPr>
        <w:t>https://pubmed.ncbi.nlm.nih.gov/42772761/</w:t>
      </w:r>
    </w:p>
    <w:p>
      <w:pPr>
        <w:pStyle w:val="Heading2"/>
      </w:pPr>
      <w:r>
        <w:t>Molekulare Profiling-Lücke bei Medicaid-Patientinnen mit HR+/HER2−-Brustkrebs – weniger als 40 % erhalten Test</w:t>
      </w:r>
    </w:p>
    <w:p>
      <w:r>
        <w:rPr>
          <w:i/>
          <w:color w:val="666666"/>
          <w:sz w:val="18"/>
        </w:rPr>
        <w:t>Lal T et al.  ·  JCO Oncol Pract  ·  22.09.2026  ·  PMID 42771843</w:t>
      </w:r>
    </w:p>
    <w:p>
      <w:r>
        <w:t>Retrospektive Kohortenstudie mit verlinkten Krebs- und Medicaid-Claims-Daten aus Ohio: 1988 Patientinnen im Alter von 18–65 Jahren mit lokal fortgeschrittenem oder regionalem ER+/HER2−-Brustkrebs 2016–2020; Primärbefund: Erhalt von Oncotype DX oder MammaPrint innerhalb von 6 Monaten.</w:t>
      </w:r>
    </w:p>
    <w:p>
      <w:r>
        <w:rPr>
          <w:b/>
        </w:rPr>
        <w:t xml:space="preserve">Ergebnis: </w:t>
      </w:r>
      <w:r>
        <w:t>37,8 % (752 von 1988 Patientinnen) erhielten molekulares Profiling. Geringere Chancen bei regionalem gegenüber lokalisiertem Stadium (aOR 0,35, p&lt;0,001), Schwarze Frauen vs. Weiße (aOR 0,72), Einkommen über Armutsgrenze (aOR 0,73) und Medicaid-Langzeitpflege-Einschreiber (aOR 0,47). Verheiratet mit höherem Profiling (aOR 1,30).</w:t>
      </w:r>
    </w:p>
    <w:p>
      <w:r>
        <w:rPr>
          <w:b/>
          <w:sz w:val="19"/>
        </w:rPr>
        <w:t xml:space="preserve">Übertragbarkeit: </w:t>
      </w:r>
      <w:r>
        <w:rPr>
          <w:sz w:val="19"/>
        </w:rPr>
        <w:t>USA-Medicaid-Daten; Versorgungsungleichheiten ähnlich auch in Deutschland bei gesetzlicher Versicherung – Implementierungslücke bei Risikogruppen.</w:t>
      </w:r>
    </w:p>
    <w:p>
      <w:r>
        <w:rPr>
          <w:color w:val="5A7D3A"/>
          <w:sz w:val="18"/>
        </w:rPr>
        <w:t>https://pubmed.ncbi.nlm.nih.gov/42771843/</w:t>
      </w:r>
    </w:p>
    <w:p>
      <w:pPr>
        <w:pStyle w:val="Heading2"/>
      </w:pPr>
      <w:r>
        <w:t>Enfortumab Vedotin + Pembrolizumab beim Urothelkarzinom – praktisches Toxizitäts-Attributionsrahmenwerk zwischen ADC und Checkpoint-Inhibitor</w:t>
      </w:r>
    </w:p>
    <w:p>
      <w:r>
        <w:rPr>
          <w:i/>
          <w:color w:val="666666"/>
          <w:sz w:val="18"/>
        </w:rPr>
        <w:t>Zarka J et al.  ·  Oncologist  ·  21.09.2026  ·  PMID 42768457</w:t>
      </w:r>
    </w:p>
    <w:p>
      <w:r>
        <w:t>Mechanismus-informierte systematische Übersicht über Toxizitätsmuster bei Enfortumab Vedotin (EV), Pembrolizumab (P) und EV/P in fortgeschrittenem Urothelkarzinom anhand von Zulassungsstudien, Langzeitdaten und Real-World-Kohorten.</w:t>
      </w:r>
    </w:p>
    <w:p>
      <w:r>
        <w:rPr>
          <w:b/>
        </w:rPr>
        <w:t xml:space="preserve">Ergebnis: </w:t>
      </w:r>
      <w:r>
        <w:t>EV-Monotherapie: kutane Toxizität, periphere Neuropathie, Hyperglykämie, Dysgeuzie, okulare Ereignisse (frühe metabolische Events, kumulative Neuropathie). Pembrolizumab: niedrigere Hochgrad-Toxizität, aber Immune-Checkpoint-induzierte Endokrinopathien, Pneumonitis, Hepatitis, Kolitis, Nephritis. Kombination EV/P: vorhersehbare Überlappung dieser Toxizitätsdomänen; praktisches Attributionsrahmenwerk (EV-dominant, Immune-dominant, Überlappung, hohes Risiko mit Therapieunterbrechung).</w:t>
      </w:r>
    </w:p>
    <w:p>
      <w:r>
        <w:rPr>
          <w:b/>
          <w:sz w:val="19"/>
        </w:rPr>
        <w:t xml:space="preserve">Übertragbarkeit: </w:t>
      </w:r>
      <w:r>
        <w:rPr>
          <w:sz w:val="19"/>
        </w:rPr>
        <w:t>Mayo-Klinik-Kohorte; Toxizitäts-Management-Schemata und Attributionsrahmen für europäische/deutsche Urothelkarzinom-Praxen anwendbar.</w:t>
      </w:r>
    </w:p>
    <w:p>
      <w:r>
        <w:rPr>
          <w:color w:val="5A7D3A"/>
          <w:sz w:val="18"/>
        </w:rPr>
        <w:t>https://pubmed.ncbi.nlm.nih.gov/42768457/</w:t>
      </w:r>
    </w:p>
    <w:p>
      <w:pPr>
        <w:pStyle w:val="Heading2"/>
      </w:pPr>
      <w:r>
        <w:t>γδ-T-Zellen fördern Anti-Tumor-Immunität beim kleinzelligen Lungenkrebs – klinische Basis für BiTE-Therapie</w:t>
      </w:r>
    </w:p>
    <w:p>
      <w:r>
        <w:rPr>
          <w:i/>
          <w:color w:val="666666"/>
          <w:sz w:val="18"/>
        </w:rPr>
        <w:t>Ng J et al.  ·  Cancer Cell  ·  18.09.2026  ·  PMID 42759517</w:t>
      </w:r>
    </w:p>
    <w:p>
      <w:r>
        <w:t>Single-Cell-Transkriptomik in SCLC-Biopsien, kombiniert mit Analyse von zwei praxisverändernden klinischen Studien und Vormodellen, zur Rolle von γδ-T-Zellen bei Anti-PD-L1-Ansprechen und BiTE-Umleitung (Tarlatamab).</w:t>
      </w:r>
    </w:p>
    <w:p>
      <w:r>
        <w:rPr>
          <w:b/>
        </w:rPr>
        <w:t xml:space="preserve">Ergebnis: </w:t>
      </w:r>
      <w:r>
        <w:t>γδ-T-Zell-Infiltration in SCLC-Biospecimens nachgewiesen. Trotz PD-1-Expression behielten γδ-T-Zellen zytotoxisches Transkriptionsprofil. Hohe γδ-T-Zell-Infiltration sagte verbessertes Ansprechen auf Anti-PD-L1 in zwei Studien voraus. Vormodelle zeigten γδ-T-Zellen wirksam bei Tarlatamab-umgeleiteter SCLC-Abtötung; Zoledronsäure sensibilisierte SCLC-Zellen für γδ-T-Zell-vermittelte Tötung.</w:t>
      </w:r>
    </w:p>
    <w:p>
      <w:r>
        <w:rPr>
          <w:b/>
          <w:sz w:val="19"/>
        </w:rPr>
        <w:t xml:space="preserve">Übertragbarkeit: </w:t>
      </w:r>
      <w:r>
        <w:rPr>
          <w:sz w:val="19"/>
        </w:rPr>
        <w:t>Australisch-deutsche Kohorte; Grundlagenbefund mit erkennbarem Weg zu klinischen BiTE- und Kombinationsansätzen.</w:t>
      </w:r>
    </w:p>
    <w:p>
      <w:r>
        <w:rPr>
          <w:color w:val="5A7D3A"/>
          <w:sz w:val="18"/>
        </w:rPr>
        <w:t>https://pubmed.ncbi.nlm.nih.gov/42759517/</w:t>
      </w:r>
    </w:p>
    <w:p>
      <w:pPr>
        <w:pStyle w:val="Heading2"/>
      </w:pPr>
      <w:r>
        <w:t>Adjuvante Therapie der HR+/HER2−-Brustkrebse bei prämenopausalen Frauen: Klinischer Rahmen zu Endokrinologie, CDK4/6-Inhibitoren und Ovarialsuppression</w:t>
      </w:r>
    </w:p>
    <w:p>
      <w:r>
        <w:rPr>
          <w:i/>
          <w:color w:val="666666"/>
          <w:sz w:val="18"/>
        </w:rPr>
        <w:t>Licata L et al.  ·  Ann Oncol  ·  17.09.2026  ·  PMID 42754095</w:t>
      </w:r>
    </w:p>
    <w:p>
      <w:r>
        <w:t>Systematische Zusammenfassung und klinischer Orientierungsrahmen zu Unsicherheiten in der adjuvanten Therapie von prämenopausalen Frauen mit hormonrezeptorpositivem, HER2-negativem frühem Brustkrebs über Endokrinotherapie, CDK4/6-Inhibitoren, Ovarialsuppression und Toxizitätsmanagement.</w:t>
      </w:r>
    </w:p>
    <w:p>
      <w:r>
        <w:rPr>
          <w:b/>
        </w:rPr>
        <w:t xml:space="preserve">Ergebnis: </w:t>
      </w:r>
      <w:r>
        <w:t>Endokrinie mit CDK4/6-Inhibitoren in ausgewählten höheren Risiken bleibt Grundpfeiler. Offene Fragen: optimale Ovarialsuppression, Interpretation genomischer Assays für Chemotherapieentscheidungen, Auswahl für verlängerte Endokrinotherapie, Adhärenz und Schwangerschaftsprobleme. Der Rahmen soll individualisierte Strategien für diese Population unterstützen.</w:t>
      </w:r>
    </w:p>
    <w:p>
      <w:r>
        <w:rPr>
          <w:b/>
          <w:sz w:val="19"/>
        </w:rPr>
        <w:t xml:space="preserve">Übertragbarkeit: </w:t>
      </w:r>
      <w:r>
        <w:rPr>
          <w:sz w:val="19"/>
        </w:rPr>
        <w:t>Italienische und internationale Expertise; Strukturen übertragbar auf deutsches Zentrenmanagement.</w:t>
      </w:r>
    </w:p>
    <w:p>
      <w:r>
        <w:rPr>
          <w:color w:val="5A7D3A"/>
          <w:sz w:val="18"/>
        </w:rPr>
        <w:t>https://pubmed.ncbi.nlm.nih.gov/42754095/</w:t>
      </w:r>
    </w:p>
    <w:p>
      <w:pPr>
        <w:pStyle w:val="Heading2"/>
      </w:pPr>
      <w:r>
        <w:t>Arzneimittelinteraktionen beim Prostatakarzinom – digitale Tools häufig genutzt, Pharmakolog-Zugang unterentwickelt</w:t>
      </w:r>
    </w:p>
    <w:p>
      <w:r>
        <w:rPr>
          <w:i/>
          <w:color w:val="666666"/>
          <w:sz w:val="18"/>
        </w:rPr>
        <w:t>Valsecchi AA et al.  ·  Oncologist  ·  09.09.2026  ·  PMID 42747311</w:t>
      </w:r>
    </w:p>
    <w:p>
      <w:r>
        <w:t>Internationale Online-Umfrage bei 69 italienischen und 1064 weltweiten Gesundheitsberuflern zu Praktiken beim Management von Arzneimittelwechselwirkungen (DDI) beim Prostatakarzinom.</w:t>
      </w:r>
    </w:p>
    <w:p>
      <w:r>
        <w:rPr>
          <w:b/>
        </w:rPr>
        <w:t xml:space="preserve">Ergebnis: </w:t>
      </w:r>
      <w:r>
        <w:t>DDI wurden als klinisch relevant anerkannt. Digitale Werkzeuge (Online-Datenbanken, Apps) am häufigsten; KI-Tools selten. Italienische Onkologen berichteten begrenzte Vor-Ort-Pharmacolog-Unterstützung (29 %), weltweit 76 %. Hauptbarrieren: Zeitdruck, unsichere Quellenzuverlässigkeit, Mangel an Schulung. Italienische Ärzte forderten mehr Pharmacolog-Zugang; globale Kohorten: institutionelle Schulung.</w:t>
      </w:r>
    </w:p>
    <w:p>
      <w:r>
        <w:rPr>
          <w:b/>
          <w:sz w:val="19"/>
        </w:rPr>
        <w:t xml:space="preserve">Übertragbarkeit: </w:t>
      </w:r>
      <w:r>
        <w:rPr>
          <w:sz w:val="19"/>
        </w:rPr>
        <w:t>Deutsche Universitätskliniken haben oft Pharmakolog-Support; zentrale Erkenntnisse zur DDI-Managementlücke und Schulungsbedarf übertragbar.</w:t>
      </w:r>
    </w:p>
    <w:p>
      <w:r>
        <w:rPr>
          <w:color w:val="5A7D3A"/>
          <w:sz w:val="18"/>
        </w:rPr>
        <w:t>https://pubmed.ncbi.nlm.nih.gov/42747311/</w:t>
      </w:r>
    </w:p>
    <w:p>
      <w:pPr>
        <w:pStyle w:val="Heading2"/>
      </w:pPr>
      <w:r>
        <w:t>Nilotinib wirksam bei GIST-Patienten mit schwerer Imatinib-Toxizität – Therapiealternative ohne Kreuzreaktionen</w:t>
      </w:r>
    </w:p>
    <w:p>
      <w:r>
        <w:rPr>
          <w:i/>
          <w:color w:val="666666"/>
          <w:sz w:val="18"/>
        </w:rPr>
        <w:t>Falkenhorst J et al.  ·  Oncologist  ·  09.09.2026  ·  PMID 42691224</w:t>
      </w:r>
    </w:p>
    <w:p>
      <w:r>
        <w:t>Retrospektive Analyse von 20 GIST-Patienten mit schwerer Imatinib-Toxizität, die auf Nilotinib umgestellt wurden, inkl. In-vitro-Testung an Zelllinien mit KIT-Mutationen.</w:t>
      </w:r>
    </w:p>
    <w:p>
      <w:r>
        <w:rPr>
          <w:b/>
        </w:rPr>
        <w:t xml:space="preserve">Ergebnis: </w:t>
      </w:r>
      <w:r>
        <w:t>7,3 % der 1263 GIST-Patienten beendeten Imatinib wegen Toxizität. In 20 Patienten mit Nilotinib-Therapie zeigten sich keine Kreuzreaktivitäten mit Imatinib: Bei KIT-Exon-11-Mutationen wirksam, bei Exon-9- oder imatinib-resistenten Mutationen nicht. Nilotinib ist damit eine wichtige Alternative für imatinib-sensitive GIST.</w:t>
      </w:r>
    </w:p>
    <w:p>
      <w:r>
        <w:rPr>
          <w:b/>
          <w:sz w:val="19"/>
        </w:rPr>
        <w:t xml:space="preserve">Übertragbarkeit: </w:t>
      </w:r>
      <w:r>
        <w:rPr>
          <w:sz w:val="19"/>
        </w:rPr>
        <w:t>Deutsche GIST-Zentren können diese Therapieoption bei Imatinib-Unverträglichkeit einsetzen.</w:t>
      </w:r>
    </w:p>
    <w:p>
      <w:r>
        <w:rPr>
          <w:color w:val="5A7D3A"/>
          <w:sz w:val="18"/>
        </w:rPr>
        <w:t>https://pubmed.ncbi.nlm.nih.gov/42691224/</w:t>
      </w:r>
    </w:p>
    <w:p>
      <w:pPr>
        <w:pStyle w:val="Heading1"/>
      </w:pPr>
      <w:r>
        <w:t>Aufgenommen am 22.09.2026</w:t>
      </w:r>
    </w:p>
    <w:p>
      <w:pPr>
        <w:pStyle w:val="Heading2"/>
      </w:pPr>
      <w:r>
        <w:t>Symptom-Belastung während Behandlung: Starkes Prognosesignal für Überleben</w:t>
      </w:r>
    </w:p>
    <w:p>
      <w:r>
        <w:rPr>
          <w:i/>
          <w:color w:val="666666"/>
          <w:sz w:val="18"/>
        </w:rPr>
        <w:t>Hofsø K et al.  ·  ESMO Open  ·  21.09.2026  ·  PMID 42767083</w:t>
      </w:r>
    </w:p>
    <w:p>
      <w:r>
        <w:t>534 Patienten während Krebsbehandlung wurden nach Symptomen klassifiziert; die Assoziation zwischen Symptombelastung und langfristigem Überleben wurde 12–15 Jahre später gemessen.</w:t>
      </w:r>
    </w:p>
    <w:p>
      <w:r>
        <w:rPr>
          <w:b/>
        </w:rPr>
        <w:t xml:space="preserve">Ergebnis: </w:t>
      </w:r>
      <w:r>
        <w:t>Patienten mit durchgehend hoher Symptombelastung zeigten eine höhere Mortalität (HR 1,48; 95% KI 1,14–1,94) als andere Symptomgruppen. Symptomklassen könnten zur Risikoschichtung herangezogen werden.</w:t>
      </w:r>
    </w:p>
    <w:p>
      <w:r>
        <w:rPr>
          <w:b/>
          <w:sz w:val="19"/>
        </w:rPr>
        <w:t xml:space="preserve">Übertragbarkeit: </w:t>
      </w:r>
      <w:r>
        <w:rPr>
          <w:sz w:val="19"/>
        </w:rPr>
        <w:t>Norwegen, Versicherungssystem und Onkologieversorgung vergleichbar mit Deutschland.</w:t>
      </w:r>
    </w:p>
    <w:p>
      <w:r>
        <w:rPr>
          <w:color w:val="5A7D3A"/>
          <w:sz w:val="18"/>
        </w:rPr>
        <w:t>https://pubmed.ncbi.nlm.nih.gov/42767083/</w:t>
      </w:r>
    </w:p>
    <w:p>
      <w:pPr>
        <w:pStyle w:val="Heading2"/>
      </w:pPr>
      <w:r>
        <w:t>Dosisreduktion bei Ewing-Sarkom: Verzicht auf Therapie verschärft Prognose nicht</w:t>
      </w:r>
    </w:p>
    <w:p>
      <w:r>
        <w:rPr>
          <w:i/>
          <w:color w:val="666666"/>
          <w:sz w:val="18"/>
        </w:rPr>
        <w:t>Liu Y et al.  ·  Eur J Cancer  ·  16.09.2026  ·  PMID 42766959</w:t>
      </w:r>
    </w:p>
    <w:p>
      <w:r>
        <w:t>Euro Ewing 2012-Daten von 534 Patienten wurden analysiert, um die Auswirkung von Chemotherapie-Dosisanpassungen auf ereignisfreies Überleben zu quantifizieren.</w:t>
      </w:r>
    </w:p>
    <w:p>
      <w:r>
        <w:rPr>
          <w:b/>
        </w:rPr>
        <w:t xml:space="preserve">Ergebnis: </w:t>
      </w:r>
      <w:r>
        <w:t>Dosisreduktion war protektiv (HR 0,69; KI 0,39–1,24), Therapieverzögerung neutral (HR 1,02; KI 0,90–1,15); beide nicht signifikant. Toxizitätsmanagement durch Dosisanpassung beeinträchtigt Prognose nicht wesentlich.</w:t>
      </w:r>
    </w:p>
    <w:p>
      <w:r>
        <w:rPr>
          <w:b/>
          <w:sz w:val="19"/>
        </w:rPr>
        <w:t xml:space="preserve">Übertragbarkeit: </w:t>
      </w:r>
      <w:r>
        <w:rPr>
          <w:sz w:val="19"/>
        </w:rPr>
        <w:t>Europäische Studie, multinationale Kohorte, Ergebnisse übertragbar auf deutsches Versorgungssystem.</w:t>
      </w:r>
    </w:p>
    <w:p>
      <w:r>
        <w:rPr>
          <w:color w:val="5A7D3A"/>
          <w:sz w:val="18"/>
        </w:rPr>
        <w:t>https://pubmed.ncbi.nlm.nih.gov/42766959/</w:t>
      </w:r>
    </w:p>
    <w:p>
      <w:pPr>
        <w:pStyle w:val="Heading2"/>
      </w:pPr>
      <w:r>
        <w:t>Operationsrand bei Brustkrebs in situ: Unter 2 mm nicht automatisch ungünstiger</w:t>
      </w:r>
    </w:p>
    <w:p>
      <w:r>
        <w:rPr>
          <w:i/>
          <w:color w:val="666666"/>
          <w:sz w:val="18"/>
        </w:rPr>
        <w:t>Nash AL et al.  ·  J Clin Oncol  ·  21.09.2026  ·  PMID 42766806</w:t>
      </w:r>
    </w:p>
    <w:p>
      <w:r>
        <w:t>11.156 Frauen mit DCIS wurden nach Operationsrandbreite klassifiziert und lokales Rezidivrisiko gemessen; multivariables Cox-Modell nach klinischen Faktoren adjustiert.</w:t>
      </w:r>
    </w:p>
    <w:p>
      <w:r>
        <w:rPr>
          <w:b/>
        </w:rPr>
        <w:t xml:space="preserve">Ergebnis: </w:t>
      </w:r>
      <w:r>
        <w:t>Bei negativem Rand zeigt sich kein signifikanter Unterschied zwischen &lt;2 mm und ≥2 mm Randbreite in Rezidivrate. Nur in der Subgruppe &lt;50 Jahre war schmaler Rand ungünstiger. ORR Brusterhalt, Strahlentherapie, Alter, Hormonrezeptor und Tumor-Grade berücksichtigt.</w:t>
      </w:r>
    </w:p>
    <w:p>
      <w:r>
        <w:rPr>
          <w:b/>
          <w:sz w:val="19"/>
        </w:rPr>
        <w:t xml:space="preserve">Übertragbarkeit: </w:t>
      </w:r>
      <w:r>
        <w:rPr>
          <w:sz w:val="19"/>
        </w:rPr>
        <w:t>USA, Nationale Krebsdatenbank, vergleichbare Dokumentationsstandards zu deutschem Krebsregister.</w:t>
      </w:r>
    </w:p>
    <w:p>
      <w:r>
        <w:rPr>
          <w:color w:val="5A7D3A"/>
          <w:sz w:val="18"/>
        </w:rPr>
        <w:t>https://pubmed.ncbi.nlm.nih.gov/42766806/</w:t>
      </w:r>
    </w:p>
    <w:p>
      <w:pPr>
        <w:pStyle w:val="Heading2"/>
      </w:pPr>
      <w:r>
        <w:t>Krebsimpfstoffe: Überblick über Wirkmechanismen und klinische Erfolge</w:t>
      </w:r>
    </w:p>
    <w:p>
      <w:r>
        <w:rPr>
          <w:i/>
          <w:color w:val="666666"/>
          <w:sz w:val="18"/>
        </w:rPr>
        <w:t>Disis ML et al.  ·  JAMA  ·  21.09.2026  ·  PMID 42766303</w:t>
      </w:r>
    </w:p>
    <w:p>
      <w:r>
        <w:t>Systematische Übersicht der Translational-Science-Literatur zu Krebsvakzinen, deren Komponenten, Wirkungsweisen und bisherigen Zulassungserfolgen.</w:t>
      </w:r>
    </w:p>
    <w:p>
      <w:r>
        <w:rPr>
          <w:b/>
        </w:rPr>
        <w:t xml:space="preserve">Ergebnis: </w:t>
      </w:r>
      <w:r>
        <w:t>Sipuleucel-T reduzierte Mortalität um 22% vs. Placebo (HR 0,78; p=0,03). Talimogene laherparepvec erhöhte 6-Monats-Remissionsrate auf 16,3% vs. 2,1% (p&lt;0,001). mRNA-4157+Pembrolizumab verbesserte rezidivfreies Überleben bei Melanom (76,6% vs. 60%; HR 0,56; p=0,05). Nebenwirkungen überwiegend mild.</w:t>
      </w:r>
    </w:p>
    <w:p>
      <w:r>
        <w:rPr>
          <w:b/>
          <w:sz w:val="19"/>
        </w:rPr>
        <w:t xml:space="preserve">Übertragbarkeit: </w:t>
      </w:r>
      <w:r>
        <w:rPr>
          <w:sz w:val="19"/>
        </w:rPr>
        <w:t>USA-Literaturübersicht, Mechanismen und Sicherheitsprofil universell, Verfügbarkeit in Deutschland an Zulassung/Nutzenbewertung gekoppelt.</w:t>
      </w:r>
    </w:p>
    <w:p>
      <w:r>
        <w:rPr>
          <w:color w:val="5A7D3A"/>
          <w:sz w:val="18"/>
        </w:rPr>
        <w:t>https://pubmed.ncbi.nlm.nih.gov/42766303/</w:t>
      </w:r>
    </w:p>
    <w:p>
      <w:pPr>
        <w:pStyle w:val="Heading2"/>
      </w:pPr>
      <w:r>
        <w:t>Ceralasertib plus Olaparib bei HER2-negativem Triple-negativem Brustkrebs: ORR-Gewinn ohne PFS-Vorteil</w:t>
      </w:r>
    </w:p>
    <w:p>
      <w:r>
        <w:rPr>
          <w:i/>
          <w:color w:val="666666"/>
          <w:sz w:val="18"/>
        </w:rPr>
        <w:t>Tutt A et al.  ·  Clin Cancer Res  ·  21.09.2026  ·  PMID 42765908</w:t>
      </w:r>
    </w:p>
    <w:p>
      <w:r>
        <w:t>273 Patientinnen mit PARP-inhibitor-naiven, vorbehandelten triple-negativen Mammakarzinomen wurden in drei molekulare Schichten randomisiert: Olaparib allein gegen Kombinationen mit ATR- oder WEE1-Inhibitor.</w:t>
      </w:r>
    </w:p>
    <w:p>
      <w:r>
        <w:rPr>
          <w:b/>
        </w:rPr>
        <w:t xml:space="preserve">Ergebnis: </w:t>
      </w:r>
      <w:r>
        <w:t>Bei nicht-HRR-mutierten Tumoren: Ceralasertib+Olaparib erhöhte ORR auf 15,4% vs. 3,9% (p=0,0425); PFS-Mediane aber 3,6 vs. 3,6 Monate (nicht signifikant). Adavosertib+Olaparib wurde wegen Toxizität abgebrochen.</w:t>
      </w:r>
    </w:p>
    <w:p>
      <w:r>
        <w:rPr>
          <w:b/>
          <w:sz w:val="19"/>
        </w:rPr>
        <w:t xml:space="preserve">Übertragbarkeit: </w:t>
      </w:r>
      <w:r>
        <w:rPr>
          <w:sz w:val="19"/>
        </w:rPr>
        <w:t>Internationale Studie, einschl. Deutschland/Belgien, vergleichbare onkologische Versorgung, Ergebnis beschränkt: ORR-Gewinn ohne Überleben-Nutzen fraglich.</w:t>
      </w:r>
    </w:p>
    <w:p>
      <w:r>
        <w:rPr>
          <w:color w:val="5A7D3A"/>
          <w:sz w:val="18"/>
        </w:rPr>
        <w:t>https://pubmed.ncbi.nlm.nih.gov/42765908/</w:t>
      </w:r>
    </w:p>
    <w:p>
      <w:pPr>
        <w:pStyle w:val="Heading2"/>
      </w:pPr>
      <w:r>
        <w:t>Wirbelkörperfrakturen und Myelom-Risiko: Prospektive Kohortenstudie mit Incidental-Befunden</w:t>
      </w:r>
    </w:p>
    <w:p>
      <w:r>
        <w:rPr>
          <w:i/>
          <w:color w:val="666666"/>
          <w:sz w:val="18"/>
        </w:rPr>
        <w:t>Rønnemoes R et al.  ·  Leukemia  ·  18.09.2026  ·  PMID 42760387</w:t>
      </w:r>
    </w:p>
    <w:p>
      <w:r>
        <w:t>9.059 Personen aus bevölkerungsrepräsentativer dänischer Stichprobe erhielten CT-Scans; zufällig entdeckte Wirbelkörperfrakturen wurden als Myelom-Risikofaktor untersucht.</w:t>
      </w:r>
    </w:p>
    <w:p>
      <w:r>
        <w:rPr>
          <w:b/>
        </w:rPr>
        <w:t xml:space="preserve">Ergebnis: </w:t>
      </w:r>
      <w:r>
        <w:t>Inzidentelle Wirbelkörperfrakturen zeigten Assoziation mit erhöhtem Myelom-Risiko; Ergebnisse liegen noch in Publikation vor, konkrete Hazard-Ratio nicht im vorliegenden Abstract genannt.</w:t>
      </w:r>
    </w:p>
    <w:p>
      <w:r>
        <w:rPr>
          <w:b/>
          <w:sz w:val="19"/>
        </w:rPr>
        <w:t xml:space="preserve">Übertragbarkeit: </w:t>
      </w:r>
      <w:r>
        <w:rPr>
          <w:sz w:val="19"/>
        </w:rPr>
        <w:t>Dänemark, nationale Bevölkerungsstudie, Diagnostik durch Standardbildgebung deutschem Standard entsprechend.</w:t>
      </w:r>
    </w:p>
    <w:p>
      <w:r>
        <w:rPr>
          <w:color w:val="5A7D3A"/>
          <w:sz w:val="18"/>
        </w:rPr>
        <w:t>https://pubmed.ncbi.nlm.nih.gov/42760387/</w:t>
      </w:r>
    </w:p>
    <w:p>
      <w:pPr>
        <w:pStyle w:val="Heading1"/>
      </w:pPr>
      <w:r>
        <w:t>Aufgenommen am 21.09.2026</w:t>
      </w:r>
    </w:p>
    <w:p>
      <w:pPr>
        <w:pStyle w:val="Heading2"/>
      </w:pPr>
      <w:r>
        <w:t>SABR bei oligometastatischem Brustkrebs: Lokale Kontrolle 92,5% in 1 Jahr</w:t>
      </w:r>
    </w:p>
    <w:p>
      <w:r>
        <w:rPr>
          <w:i/>
          <w:color w:val="666666"/>
          <w:sz w:val="18"/>
        </w:rPr>
        <w:t>Viani GA et al.  ·  Radiother Oncol  ·  20.09.2026  ·  PMID 42764105</w:t>
      </w:r>
    </w:p>
    <w:p>
      <w:r>
        <w:t>Metaanalyse von 25 Studien (1.577 Patienten) zu stereotaktischer ablativer Radiotherapie bei oligometastatischem Brustkrebs.</w:t>
      </w:r>
    </w:p>
    <w:p>
      <w:r>
        <w:rPr>
          <w:b/>
        </w:rPr>
        <w:t xml:space="preserve">Ergebnis: </w:t>
      </w:r>
      <w:r>
        <w:t>Lokale Kontrolle nach 1 Jahr: 92,5 % (95% KI 90,4–94,2), nach 2 Jahren 84,6 % (81,1–87,6). De-novo-Oligometastasen zeigten bessere Ergebnisse als Oligoprogression (OS nach 2 Jahren 91,0 vs. 65,8 %; p=0,002). Grad ≥3-Nebenwirkungen in nur 1,5 % der Patienten.</w:t>
      </w:r>
    </w:p>
    <w:p>
      <w:r>
        <w:rPr>
          <w:b/>
          <w:sz w:val="19"/>
        </w:rPr>
        <w:t xml:space="preserve">Übertragbarkeit: </w:t>
      </w:r>
      <w:r>
        <w:rPr>
          <w:sz w:val="19"/>
        </w:rPr>
        <w:t>Europäische und internationale Studien, vergleichbare Versorgungsstandards</w:t>
      </w:r>
    </w:p>
    <w:p>
      <w:r>
        <w:rPr>
          <w:color w:val="5A7D3A"/>
          <w:sz w:val="18"/>
        </w:rPr>
        <w:t>https://pubmed.ncbi.nlm.nih.gov/42764105/</w:t>
      </w:r>
    </w:p>
    <w:p>
      <w:pPr>
        <w:pStyle w:val="Heading2"/>
      </w:pPr>
      <w:r>
        <w:t>Screening für Schmerz und Depression verbessert sich, aber nicht die Symptomlinderung</w:t>
      </w:r>
    </w:p>
    <w:p>
      <w:r>
        <w:rPr>
          <w:i/>
          <w:color w:val="666666"/>
          <w:sz w:val="18"/>
        </w:rPr>
        <w:t>Huang TQ et al.  ·  JCO Oncol Pract  ·  17.09.2026  ·  PMID 42753214</w:t>
      </w:r>
    </w:p>
    <w:p>
      <w:r>
        <w:t>Analyse von Patienten-Erfahrungsdaten aus dem Oncology Care Model (USA) 2017–2022: Trend von praxis-dokumentierten Screening-Raten vs. Patient-reported Outcomes.</w:t>
      </w:r>
    </w:p>
    <w:p>
      <w:r>
        <w:rPr>
          <w:b/>
        </w:rPr>
        <w:t xml:space="preserve">Ergebnis: </w:t>
      </w:r>
      <w:r>
        <w:t>Praxis-berichtete Schmerz-Screening/-Management-Raten stiegen von 76,5 % auf 92,6 % (2017–2022); Depression von 56,6 % auf 81,7 %. Aber patient-berichtete Schmerzen nahmen leicht ab (–0,2 Prozentpunkte/Quartal; p=0,002), Hilfe bei Symptomen stieg nicht (p&gt;0,20).</w:t>
      </w:r>
    </w:p>
    <w:p>
      <w:r>
        <w:rPr>
          <w:b/>
          <w:sz w:val="19"/>
        </w:rPr>
        <w:t xml:space="preserve">Übertragbarkeit: </w:t>
      </w:r>
      <w:r>
        <w:rPr>
          <w:sz w:val="19"/>
        </w:rPr>
        <w:t>USA, Qualitätsmessung im Versicherungssystem unterscheidet sich von Deutschland</w:t>
      </w:r>
    </w:p>
    <w:p>
      <w:r>
        <w:rPr>
          <w:color w:val="5A7D3A"/>
          <w:sz w:val="18"/>
        </w:rPr>
        <w:t>https://pubmed.ncbi.nlm.nih.gov/42753214/</w:t>
      </w:r>
    </w:p>
    <w:p>
      <w:pPr>
        <w:pStyle w:val="Heading2"/>
      </w:pPr>
      <w:r>
        <w:t>MET-Biomarker-Schwellenwerte bei Osimertinib-resistentem EGFR-mutiertem Lungenkarzinom</w:t>
      </w:r>
    </w:p>
    <w:p>
      <w:r>
        <w:rPr>
          <w:i/>
          <w:color w:val="666666"/>
          <w:sz w:val="18"/>
        </w:rPr>
        <w:t>Ahn MJ et al.  ·  Clin Cancer Res  ·  17.09.2026  ·  PMID 42752799</w:t>
      </w:r>
    </w:p>
    <w:p>
      <w:r>
        <w:t>Retrospektive Analyse aus Phase-II-SAVANNAH-Studie: Bestimmung optimaler MET-Cutoffs (IHC/FISH) für Savolitinib plus Osimertinib bei vorbehandeltem NSCLC.</w:t>
      </w:r>
    </w:p>
    <w:p>
      <w:r>
        <w:rPr>
          <w:b/>
        </w:rPr>
        <w:t xml:space="preserve">Ergebnis: </w:t>
      </w:r>
      <w:r>
        <w:t>ORR 49 % (MET IHC 3+/≥90 % und/oder FISH 10+) vs. 9 % (MET-negativ); 32 % (MET IHC 3+/≥50 % oder FISH 5+). Prävalenz MET 3+/≥90 % oder FISH 10+ betrug 34 %. Optimale Cutoffs identifiziert für Phase-III-SAFFRON-Studie.</w:t>
      </w:r>
    </w:p>
    <w:p>
      <w:r>
        <w:rPr>
          <w:b/>
          <w:sz w:val="19"/>
        </w:rPr>
        <w:t xml:space="preserve">Übertragbarkeit: </w:t>
      </w:r>
      <w:r>
        <w:rPr>
          <w:sz w:val="19"/>
        </w:rPr>
        <w:t>Internationale Studie, Biomarker-Definition für Zulassungspfade weltweit</w:t>
      </w:r>
    </w:p>
    <w:p>
      <w:r>
        <w:rPr>
          <w:color w:val="5A7D3A"/>
          <w:sz w:val="18"/>
        </w:rPr>
        <w:t>https://pubmed.ncbi.nlm.nih.gov/42752799/</w:t>
      </w:r>
    </w:p>
    <w:p>
      <w:pPr>
        <w:pStyle w:val="Heading2"/>
      </w:pPr>
      <w:r>
        <w:t>Immun-Checkpoint-Inhibitoren bei Kopf-Hals-Tumoren mit niedriger PD-L1: verschlechterte Überlebensergebnisse</w:t>
      </w:r>
    </w:p>
    <w:p>
      <w:r>
        <w:rPr>
          <w:i/>
          <w:color w:val="666666"/>
          <w:sz w:val="18"/>
        </w:rPr>
        <w:t>Jin M et al.  ·  JAMA Oncol  ·  17.09.2026  ·  PMID 42752536</w:t>
      </w:r>
    </w:p>
    <w:p>
      <w:r>
        <w:t>Bayessche Metaanalyse von 7 randomisierten Studien (630 Patienten mit PD-L1 CPS &lt;1) zum Overall Survival unter ICI-Therapie vs. Standard-Chemotherapie bei Kopf-Hals-Karzinomen.</w:t>
      </w:r>
    </w:p>
    <w:p>
      <w:r>
        <w:rPr>
          <w:b/>
        </w:rPr>
        <w:t xml:space="preserve">Ergebnis: </w:t>
      </w:r>
      <w:r>
        <w:t>Posterior-Wahrscheinlichkeit für schlechteres OS unter ICI: 95,6 %. Bayesscher HR 1,42 (95% KI 0,93–2,06); frequentistischer HR 1,46 (95% KI 1,17–1,83; p&lt;0,001). Empfehlung: Vorsicht bei ICI in dieser PD-L1-negativen Subgruppe.</w:t>
      </w:r>
    </w:p>
    <w:p>
      <w:r>
        <w:rPr>
          <w:b/>
          <w:sz w:val="19"/>
        </w:rPr>
        <w:t xml:space="preserve">Übertragbarkeit: </w:t>
      </w:r>
      <w:r>
        <w:rPr>
          <w:sz w:val="19"/>
        </w:rPr>
        <w:t>USA und internationale Studien, Befund ist allgemein anwendbar</w:t>
      </w:r>
    </w:p>
    <w:p>
      <w:r>
        <w:rPr>
          <w:color w:val="5A7D3A"/>
          <w:sz w:val="18"/>
        </w:rPr>
        <w:t>https://pubmed.ncbi.nlm.nih.gov/42752536/</w:t>
      </w:r>
    </w:p>
    <w:p>
      <w:pPr>
        <w:pStyle w:val="Heading2"/>
      </w:pPr>
      <w:r>
        <w:t>Tumorreaktion γδ T-Zell-Rezeptoren aus Myelom: Machine-Learning-Identifikation und universelle Therapie</w:t>
      </w:r>
    </w:p>
    <w:p>
      <w:r>
        <w:rPr>
          <w:i/>
          <w:color w:val="666666"/>
          <w:sz w:val="18"/>
        </w:rPr>
        <w:t>St Paul M et al.  ·  Nature  ·  16.09.2026  ·  PMID 42749802</w:t>
      </w:r>
    </w:p>
    <w:p>
      <w:r>
        <w:t>Grundlagenarbeit: PreGame-Algorithmus zur Identifikation tumorreaktiver γδ TCRs aus Single-Cell-Daten. Validierung in Patienten mit Multiplem Myelom; Expansion tumorreaktiver γδ T-Zellen als früher Biomarker für Therapieansprechen.</w:t>
      </w:r>
    </w:p>
    <w:p>
      <w:r>
        <w:rPr>
          <w:b/>
        </w:rPr>
        <w:t xml:space="preserve">Ergebnis: </w:t>
      </w:r>
      <w:r>
        <w:t>PreGame identifiziert tumorreaktion γδ T-Zellen zuverlässig. Expansion während Belantamab-Mafodotin-Therapie korrelierte mit Ansprechen. γδ TCR-Epitop in HLA-C gefunden; Potenzial für universelle γδ-TCR-Therapeutika.</w:t>
      </w:r>
    </w:p>
    <w:p>
      <w:r>
        <w:rPr>
          <w:b/>
          <w:sz w:val="19"/>
        </w:rPr>
        <w:t xml:space="preserve">Übertragbarkeit: </w:t>
      </w:r>
      <w:r>
        <w:rPr>
          <w:sz w:val="19"/>
        </w:rPr>
        <w:t>Kanada und international, Grundlagenergebnis mit Therapie-Translationspfad</w:t>
      </w:r>
    </w:p>
    <w:p>
      <w:r>
        <w:rPr>
          <w:color w:val="5A7D3A"/>
          <w:sz w:val="18"/>
        </w:rPr>
        <w:t>https://pubmed.ncbi.nlm.nih.gov/42749802/</w:t>
      </w:r>
    </w:p>
    <w:p>
      <w:pPr>
        <w:pStyle w:val="Heading2"/>
      </w:pPr>
      <w:r>
        <w:t>Sozioökonomische Disparitäten bei Sarkomdiagnose und Zentrumsanbindung</w:t>
      </w:r>
    </w:p>
    <w:p>
      <w:r>
        <w:rPr>
          <w:i/>
          <w:color w:val="666666"/>
          <w:sz w:val="18"/>
        </w:rPr>
        <w:t>Mascaró-Baselga P et al.  ·  Oncologist  ·  09.09.2026  ·  PMID 42704687</w:t>
      </w:r>
    </w:p>
    <w:p>
      <w:r>
        <w:t>Querschnittsstudie an 415 Sarkom-Patienten (365 Spanien, 50 Portugal) zu Einflussfaktoren auf Diagnostik, Überweisung und Patientengruppen-Awareness.</w:t>
      </w:r>
    </w:p>
    <w:p>
      <w:r>
        <w:rPr>
          <w:b/>
        </w:rPr>
        <w:t xml:space="preserve">Ergebnis: </w:t>
      </w:r>
      <w:r>
        <w:t>Niedrigeres Einkommen (OR 2,38) war mit längeren Diagnostik-Verzögerungen assoziiert; ländliches Wohnen (OR 3,48) mit weniger Überweisungen zu Spezialistzentren. Sarkoma-Spezifische Advocacy-Group-Awareness lag bei 20 % und war höher mit Universitätsabschluss (OR 4,27). Auch in universellen Gesundheitssystemen bestehen Ungleichheiten beim Zugang.</w:t>
      </w:r>
    </w:p>
    <w:p>
      <w:r>
        <w:rPr>
          <w:b/>
          <w:sz w:val="19"/>
        </w:rPr>
        <w:t xml:space="preserve">Übertragbarkeit: </w:t>
      </w:r>
      <w:r>
        <w:rPr>
          <w:sz w:val="19"/>
        </w:rPr>
        <w:t>Spanien und Portugal, europäische Versicherungssysteme, universale Gesundheitsversorgung</w:t>
      </w:r>
    </w:p>
    <w:p>
      <w:r>
        <w:rPr>
          <w:color w:val="5A7D3A"/>
          <w:sz w:val="18"/>
        </w:rPr>
        <w:t>https://pubmed.ncbi.nlm.nih.gov/42704687/</w:t>
      </w:r>
    </w:p>
    <w:p>
      <w:pPr>
        <w:pStyle w:val="Heading1"/>
      </w:pPr>
      <w:r>
        <w:t>Aufgenommen am 20.09.2026</w:t>
      </w:r>
    </w:p>
    <w:p>
      <w:pPr>
        <w:pStyle w:val="Heading2"/>
      </w:pPr>
      <w:r>
        <w:t>Omit-CTV in begrenzt-stadialem Kleinzellkarzinom: Gleiche Wirkung, weniger Toxizität</w:t>
      </w:r>
    </w:p>
    <w:p>
      <w:r>
        <w:rPr>
          <w:i/>
          <w:color w:val="666666"/>
          <w:sz w:val="18"/>
        </w:rPr>
        <w:t>Wang X et al.  ·  Radiother Oncol  ·  19.09.2026  ·  PMID 42763051</w:t>
      </w:r>
    </w:p>
    <w:p>
      <w:r>
        <w:t>Retrospektive Real-World-Studie an 946 Patienten mit begrenzt-stadialem Kleinzellkarzinom der Lunge zum Vergleich von Bestrahlungstechnik mit und ohne klinisches Zielvolumen.</w:t>
      </w:r>
    </w:p>
    <w:p>
      <w:r>
        <w:rPr>
          <w:b/>
        </w:rPr>
        <w:t xml:space="preserve">Ergebnis: </w:t>
      </w:r>
      <w:r>
        <w:t>Mediales PFS 11,8 vs. 11,6 Monate (HR 0,93; p=0,500), mediales OS 35,8 vs. 30,7 Monate (HR 0,85; p=0,220). Omit-CTV zeigte niedrigere Pneumonitis-Raten (Grad ≥3: 3,4 % vs. 8,3 %) und Ösophagitis (Grad ≥3: 5,7 % vs. 9,1 %). Bei Immuntherapie-Patienten: nicht erreichte PFS vs. 15,2 Monate (HR 0,48; p=0,033), nicht erreichte OS vs. 26,9 Monate (HR 0,31; p=0,018).</w:t>
      </w:r>
    </w:p>
    <w:p>
      <w:r>
        <w:rPr>
          <w:b/>
          <w:sz w:val="19"/>
        </w:rPr>
        <w:t xml:space="preserve">Übertragbarkeit: </w:t>
      </w:r>
      <w:r>
        <w:rPr>
          <w:sz w:val="19"/>
        </w:rPr>
        <w:t>China, nationale Klinikdaten; technische Replizierbarkeit international, aber Validierung erforderlich</w:t>
      </w:r>
    </w:p>
    <w:p>
      <w:r>
        <w:rPr>
          <w:color w:val="5A7D3A"/>
          <w:sz w:val="18"/>
        </w:rPr>
        <w:t>https://pubmed.ncbi.nlm.nih.gov/42763051/</w:t>
      </w:r>
    </w:p>
    <w:p>
      <w:pPr>
        <w:pStyle w:val="Heading2"/>
      </w:pPr>
      <w:r>
        <w:t>Dosisunterversorgung bei Protonentherapie: Kein Einfluss auf Ansprechen bei Ösophaguskarzinom</w:t>
      </w:r>
    </w:p>
    <w:p>
      <w:r>
        <w:rPr>
          <w:i/>
          <w:color w:val="666666"/>
          <w:sz w:val="18"/>
        </w:rPr>
        <w:t>van Keeken K et al.  ·  Radiother Oncol  ·  19.09.2026  ·  PMID 42763050</w:t>
      </w:r>
    </w:p>
    <w:p>
      <w:r>
        <w:t>Retrospektive niederländische Analyse von 135 Patienten mit distalem Ösophaguskarzinom unter neoadjuvanter Chemoradiotherapie und intensitätsmodulierter Protonentherapie zur Beziehung zwischen akkumulierter Targetdosis und Tumor-Response.</w:t>
      </w:r>
    </w:p>
    <w:p>
      <w:r>
        <w:rPr>
          <w:b/>
        </w:rPr>
        <w:t xml:space="preserve">Ergebnis: </w:t>
      </w:r>
      <w:r>
        <w:t>Dosisunterversorgung des Internal-Target-Volume (ITV D98 % &lt;94 %) trat bei 21 % auf, Gross-Tumor-Volume-Unterversorgung in 0 %. Persistierende klinische komplette Remission/pathologische komplette Remission: 30 % mit vs. 28 % ohne ITV-Unterversorgung (p=0,90). 2-Jahres-OS identisch (64 %). Zwerchfellbewegung &gt;2 cm war nicht mit Unterversorgung assoziiert.</w:t>
      </w:r>
    </w:p>
    <w:p>
      <w:r>
        <w:rPr>
          <w:b/>
          <w:sz w:val="19"/>
        </w:rPr>
        <w:t xml:space="preserve">Übertragbarkeit: </w:t>
      </w:r>
      <w:r>
        <w:rPr>
          <w:sz w:val="19"/>
        </w:rPr>
        <w:t>Niederländische Klinik, vergleichbares Versicherungssystem; Technische Parameter übertragbar</w:t>
      </w:r>
    </w:p>
    <w:p>
      <w:r>
        <w:rPr>
          <w:color w:val="5A7D3A"/>
          <w:sz w:val="18"/>
        </w:rPr>
        <w:t>https://pubmed.ncbi.nlm.nih.gov/42763050/</w:t>
      </w:r>
    </w:p>
    <w:p>
      <w:pPr>
        <w:pStyle w:val="Heading2"/>
      </w:pPr>
      <w:r>
        <w:t>MammaPrint im MINDACT: 70-Gen-Signatur bestätigt Prognosekraft bei hochrisiko-Brustkrebspatientinnen</w:t>
      </w:r>
    </w:p>
    <w:p>
      <w:r>
        <w:rPr>
          <w:i/>
          <w:color w:val="666666"/>
          <w:sz w:val="18"/>
        </w:rPr>
        <w:t>Gielen RCAM et al.  ·  Eur J Cancer  ·  11.09.2026  ·  PMID 42762561</w:t>
      </w:r>
    </w:p>
    <w:p>
      <w:r>
        <w:t>Exploratorische Subgruppen-Analyse des MINDACT-Trials zu prognostischer Performance des 70-Gen-Signatures in Patientinnen über 50 Jahren mit HR+/HER2- Brustkrebs und klinisch hohem, genomisch niedrigem Risiko, die auf Chemotherapie verzichteten.</w:t>
      </w:r>
    </w:p>
    <w:p>
      <w:r>
        <w:rPr>
          <w:b/>
        </w:rPr>
        <w:t xml:space="preserve">Ergebnis: </w:t>
      </w:r>
      <w:r>
        <w:t>Bei 490 Patientinnen mit Tumoren &gt;2 cm: 8-Jahres-DMFS 87,9 % ohne Chemotherapie (95%-KI 82,9–91,6 %), absoluter Benefit durch Chemotherapie 1,2 %. Bei Grad-3-Tumoren (n=232): DMFS 91,3 % ohne Chemotherapie, Benefit -2,2 %. Bei Lymphknoten-Befall (n=406): DMFS 89,6 %, Benefit 0,7 %. Der Signatur behält prognostische Validität in diesen Hochrisiko-Subgruppen.</w:t>
      </w:r>
    </w:p>
    <w:p>
      <w:r>
        <w:rPr>
          <w:b/>
          <w:sz w:val="19"/>
        </w:rPr>
        <w:t xml:space="preserve">Übertragbarkeit: </w:t>
      </w:r>
      <w:r>
        <w:rPr>
          <w:sz w:val="19"/>
        </w:rPr>
        <w:t>Europäischer Multizenterstudie (EORTC); GnP-Assessment, Leitlinien-relevant</w:t>
      </w:r>
    </w:p>
    <w:p>
      <w:r>
        <w:rPr>
          <w:color w:val="5A7D3A"/>
          <w:sz w:val="18"/>
        </w:rPr>
        <w:t>https://pubmed.ncbi.nlm.nih.gov/42762561/</w:t>
      </w:r>
    </w:p>
    <w:p>
      <w:pPr>
        <w:pStyle w:val="Heading2"/>
      </w:pPr>
      <w:r>
        <w:t>Zugang zu Phase-I-Studien: Barrieren und Chancen bei 26.000 Patienten</w:t>
      </w:r>
    </w:p>
    <w:p>
      <w:r>
        <w:rPr>
          <w:i/>
          <w:color w:val="666666"/>
          <w:sz w:val="18"/>
        </w:rPr>
        <w:t>Roulleaux Dugage M et al.  ·  Eur J Cancer  ·  17.09.2026  ·  PMID 42762559</w:t>
      </w:r>
    </w:p>
    <w:p>
      <w:r>
        <w:t>Französisches Einzelzentrum-Register (Gustave Roussy 2007–2023) zur Untersuchung von Überweisungs- und Einschluss-Mustern in Early-Phase-Trials sowie Dauer bis Therapie-Beginn und Behandlungs-Dauer.</w:t>
      </w:r>
    </w:p>
    <w:p>
      <w:r>
        <w:rPr>
          <w:b/>
        </w:rPr>
        <w:t xml:space="preserve">Ergebnis: </w:t>
      </w:r>
      <w:r>
        <w:t>Von 26.394 überweisenen Patienten wurden 13.713 (52 %) evaluiert, 5.847 (22 %) gaben Einwilligung ab, 4.769 (18 %) erhielten mindestens eine Dosis. Mediane Zeit von Uberweisung zu Trial-Inkl: variabel nach Tumortyp. Zugangsdisparitäten: Nicht-kleinzelliges Lungenkarzinom war häufigste Überweisung (n=5.025, 19 %), aber Brust-, Kolorektal- und Pankreaskarzinom hatten niedrige Behandlungsquoten trotz hoher Überweisungen. Therapeutische Landschaft: Anstieg von Antikörper-Wirkstoff-Konjugaten und T-Zell-Engagern, Rückgang konventioneller monoklonaler Antikörper.</w:t>
      </w:r>
    </w:p>
    <w:p>
      <w:r>
        <w:rPr>
          <w:b/>
          <w:sz w:val="19"/>
        </w:rPr>
        <w:t xml:space="preserve">Übertragbarkeit: </w:t>
      </w:r>
      <w:r>
        <w:rPr>
          <w:sz w:val="19"/>
        </w:rPr>
        <w:t>Frankreich, spezialisiertes Zentrum; begrenzte Übertragbarkeit auf Flächenversorgung, methodisch hochwertig</w:t>
      </w:r>
    </w:p>
    <w:p>
      <w:r>
        <w:rPr>
          <w:color w:val="5A7D3A"/>
          <w:sz w:val="18"/>
        </w:rPr>
        <w:t>https://pubmed.ncbi.nlm.nih.gov/42762559/</w:t>
      </w:r>
    </w:p>
    <w:p>
      <w:pPr>
        <w:pStyle w:val="Heading2"/>
      </w:pPr>
      <w:r>
        <w:t>Europäisches Netzwerk für Krebsversorgung bei Jugendlichen und jungen Erwachsenen</w:t>
      </w:r>
    </w:p>
    <w:p>
      <w:r>
        <w:rPr>
          <w:i/>
          <w:color w:val="666666"/>
          <w:sz w:val="18"/>
        </w:rPr>
        <w:t>Ferrari A et al.  ·  ESMO Open  ·  18.09.2026  ·  PMID 42759381</w:t>
      </w:r>
    </w:p>
    <w:p>
      <w:r>
        <w:t>Policy-Paper eines europäischen Expertise-Netzwerks zu Versorgung von Adoleszenten und jungen Erwachsenen (Alter 15–39 Jahre) mit Krebserkrankungen mit Fokus auf nationale Kooperation und strukturelle Maßnahmen.</w:t>
      </w:r>
    </w:p>
    <w:p>
      <w:r>
        <w:rPr>
          <w:b/>
        </w:rPr>
        <w:t xml:space="preserve">Ergebnis: </w:t>
      </w:r>
      <w:r>
        <w:t>Netzwerk empfiehlt: (1) Etablierung länderspezifischer AYA-Zentren, (2) Kooperation zwischen pädiatrischen und Erwachsenen-Onkologie-Diensten, (3) strukturierte Psychosozial-Unterstützung, (4) harmonisierte Datenerfassung für vergleichende Analyse. Hauptmerkmale: Unterschiedliche nationale Zugangsbarrieren und Versorgungsstrukturen in Europas Ländern erfordern lokale Anpassung bei gemeinsamen Standards.</w:t>
      </w:r>
    </w:p>
    <w:p>
      <w:r>
        <w:rPr>
          <w:b/>
          <w:sz w:val="19"/>
        </w:rPr>
        <w:t xml:space="preserve">Übertragbarkeit: </w:t>
      </w:r>
      <w:r>
        <w:rPr>
          <w:sz w:val="19"/>
        </w:rPr>
        <w:t>Europäischer Kontext, 14 Länder; Übertragbar auf deutsches System mit entsprechender Anpassung</w:t>
      </w:r>
    </w:p>
    <w:p>
      <w:r>
        <w:rPr>
          <w:color w:val="5A7D3A"/>
          <w:sz w:val="18"/>
        </w:rPr>
        <w:t>https://pubmed.ncbi.nlm.nih.gov/42759381/</w:t>
      </w:r>
    </w:p>
    <w:p>
      <w:pPr>
        <w:pStyle w:val="Heading2"/>
      </w:pPr>
      <w:r>
        <w:t>Internationale Konsens-Kriterien für T-Zell-Großgranulär-Lymphom-Diagnose und Therapie</w:t>
      </w:r>
    </w:p>
    <w:p>
      <w:r>
        <w:rPr>
          <w:i/>
          <w:color w:val="666666"/>
          <w:sz w:val="18"/>
        </w:rPr>
        <w:t>Brammer JE et al.  ·  Blood  ·  21.08.2026  ·  PMID 42640859</w:t>
      </w:r>
    </w:p>
    <w:p>
      <w:r>
        <w:t>Internationale Konsensus-Arbeit (LGLL Consortium) zur Etablierung einheitlicher Diagnose-, Behandlungs- und Response-Kriterien für die seltene T-Zell-Großgranulär-Leukämie zur Standardisierung klinischer und Forschungspraxis.</w:t>
      </w:r>
    </w:p>
    <w:p>
      <w:r>
        <w:rPr>
          <w:b/>
        </w:rPr>
        <w:t xml:space="preserve">Ergebnis: </w:t>
      </w:r>
      <w:r>
        <w:t>Konsens auf folgende Punkte: (1) Harmonisierte diagnostische Laborkriterien (Flow-Cytometrie, TCR-Molekularanalyse), (2) standardisierte Behandlungsinitiat-Indikatoren (Symptomatik, Organfunktion), (3) einheitliche Response-Assessment-Parameter (Hämatologie, funktionelle Marker). Empfehlungen zur Differenzialdiagnose autoimmunärer Phänomene. Kriterien adressieren zentrale Heterogenität bisheriger Studien, um zukünftige Trials und Klinik zu vereinheitlichen.</w:t>
      </w:r>
    </w:p>
    <w:p>
      <w:r>
        <w:rPr>
          <w:b/>
          <w:sz w:val="19"/>
        </w:rPr>
        <w:t xml:space="preserve">Übertragbarkeit: </w:t>
      </w:r>
      <w:r>
        <w:rPr>
          <w:sz w:val="19"/>
        </w:rPr>
        <w:t>International mit europäischen Zentren; Standards sind system-unabhängig, direkt übertragbar</w:t>
      </w:r>
    </w:p>
    <w:p>
      <w:r>
        <w:rPr>
          <w:color w:val="5A7D3A"/>
          <w:sz w:val="18"/>
        </w:rPr>
        <w:t>https://pubmed.ncbi.nlm.nih.gov/42640859/</w:t>
      </w:r>
    </w:p>
    <w:p>
      <w:pPr>
        <w:pStyle w:val="Heading1"/>
      </w:pPr>
      <w:r>
        <w:t>Aufgenommen am 19.09.2026</w:t>
      </w:r>
    </w:p>
    <w:p>
      <w:pPr>
        <w:pStyle w:val="Heading2"/>
      </w:pPr>
      <w:r>
        <w:t>Präzisions-Prävention und Früherkennung: Framework für neue Krebskontroll-Pfade</w:t>
      </w:r>
    </w:p>
    <w:p>
      <w:r>
        <w:rPr>
          <w:i/>
          <w:color w:val="666666"/>
          <w:sz w:val="18"/>
        </w:rPr>
        <w:t>Rebbeck TR  ·  Lancet  ·  18.09.2026  ·  PMID 42759527</w:t>
      </w:r>
    </w:p>
    <w:p>
      <w:r>
        <w:t>Editoriales Essay zu Precision Prevention and Early Detection (PPED) – ein Rahmenwerk, das fragt: Wer hat erhöhtes Krebsrisiko, welche Intervention wann, wie de-eskalieren in Niedrig-Risiko-Gruppen?</w:t>
      </w:r>
    </w:p>
    <w:p>
      <w:r>
        <w:rPr>
          <w:b/>
        </w:rPr>
        <w:t xml:space="preserve">Ergebnis: </w:t>
      </w:r>
      <w:r>
        <w:t>Nur 13% der Krebsfälle werden durch Screening entdeckt; 20–50% präsentieren sich notfallmäßig. PPED-Logik funktioniert bei erblichen Syndromen mit ausreichend angereichertem Risiko. Schlüssel: Gesundheitssystem-Infrastruktur und Arbeitskräfte für longitudinales Präventions-Planning; de-Eskalation in Niedrig-Risiko-Personen genauso wichtig wie Intensivierung in Hoch-Risiko. Größte Herausforderung der nächsten Dekade.</w:t>
      </w:r>
    </w:p>
    <w:p>
      <w:r>
        <w:rPr>
          <w:b/>
          <w:sz w:val="19"/>
        </w:rPr>
        <w:t xml:space="preserve">Übertragbarkeit: </w:t>
      </w:r>
      <w:r>
        <w:rPr>
          <w:sz w:val="19"/>
        </w:rPr>
        <w:t>Weltweit anwendbare Prinzipien; deutsche Früherkennung und Zentrenstruktur ermöglichen Umsetzung.</w:t>
      </w:r>
    </w:p>
    <w:p>
      <w:r>
        <w:rPr>
          <w:color w:val="5A7D3A"/>
          <w:sz w:val="18"/>
        </w:rPr>
        <w:t>https://pubmed.ncbi.nlm.nih.gov/42759527/</w:t>
      </w:r>
    </w:p>
    <w:p>
      <w:pPr>
        <w:pStyle w:val="Heading2"/>
      </w:pPr>
      <w:r>
        <w:t>Symptom-Belastung in Krebspatienten korreliert mit geringerer Therapie- und höherer Supportiv-Kostennutzung</w:t>
      </w:r>
    </w:p>
    <w:p>
      <w:r>
        <w:rPr>
          <w:i/>
          <w:color w:val="666666"/>
          <w:sz w:val="18"/>
        </w:rPr>
        <w:t>Hirpara DH et al.  ·  J Clin Oncol  ·  18.09.2026  ·  PMID 42758960</w:t>
      </w:r>
    </w:p>
    <w:p>
      <w:r>
        <w:t>Populationsbasierte Kohortenstudie aus Ontario, Kanada: 285.924 Krebspatienten mit 1.728.025 ESAS-Assessments (Edmonton Symptom Assessment) zur Assoziation zwischen Patient-Reported Outcomes und Gesundheitskosten.</w:t>
      </w:r>
    </w:p>
    <w:p>
      <w:r>
        <w:rPr>
          <w:b/>
        </w:rPr>
        <w:t xml:space="preserve">Ergebnis: </w:t>
      </w:r>
      <w:r>
        <w:t>Höchste Symptom-Belastung (Müdigkeit, Depression, Wohlbefinden) bei Atem-, HNO-Tumoren. Jede 10-Punkte-Zunahme ESAS-Score: 9,4% weniger Krebs-Therapiekosten (sinkende Therapie-Nutzung), aber 18% mehr Supportiv-Care-Kosten (mehr ED-Besuche, Hauscare). GI/Mamma/ZNS teuerste Entitäten (85–78k CAD/30 Tage). Aktives Symptom-Management könnte Krebs-Therapien fördern und unnötige Supportiv-Kosten senken.</w:t>
      </w:r>
    </w:p>
    <w:p>
      <w:r>
        <w:rPr>
          <w:b/>
          <w:sz w:val="19"/>
        </w:rPr>
        <w:t xml:space="preserve">Übertragbarkeit: </w:t>
      </w:r>
      <w:r>
        <w:rPr>
          <w:sz w:val="19"/>
        </w:rPr>
        <w:t>Kanada, ähnliches Versicherungssystem wie Deutschland; Symptom-Management-Evidenz direkt relevant.</w:t>
      </w:r>
    </w:p>
    <w:p>
      <w:r>
        <w:rPr>
          <w:color w:val="5A7D3A"/>
          <w:sz w:val="18"/>
        </w:rPr>
        <w:t>https://pubmed.ncbi.nlm.nih.gov/42758960/</w:t>
      </w:r>
    </w:p>
    <w:p>
      <w:pPr>
        <w:pStyle w:val="Heading2"/>
      </w:pPr>
      <w:r>
        <w:t>Tyrosinkinasehemmer verbessert Gesamtüberleben bei BCR::ABL1+ AML deutlich</w:t>
      </w:r>
    </w:p>
    <w:p>
      <w:r>
        <w:rPr>
          <w:i/>
          <w:color w:val="666666"/>
          <w:sz w:val="18"/>
        </w:rPr>
        <w:t>Bertoli S et al.  ·  Blood  ·  18.09.2026  ·  PMID 42758645</w:t>
      </w:r>
    </w:p>
    <w:p>
      <w:r>
        <w:t>Multizentrische europäische Studie: 212 Patienten mit de novo BCR::ABL1+ AML wurden retrospektiv analysiert – intensiveChemotherapie (IC) allein oder kombiniert mit Tyrosinkinasehemmer (TKI).</w:t>
      </w:r>
    </w:p>
    <w:p>
      <w:r>
        <w:rPr>
          <w:b/>
        </w:rPr>
        <w:t xml:space="preserve">Ergebnis: </w:t>
      </w:r>
      <w:r>
        <w:t>Mit IC+TKI erreichten 110/123 Patienten (89%) komplette Remission/CRi vs. 52/77 (68%) mit IC allein (p&lt;0,0001). 5-Jahres-Gesamtüberleben: 62,9% (IC+TKI) vs. 38,5% (IC; p&lt;0,0001). Im multivariaten Modell: Odds Ratio für CR/CRi 4,74 (95%-KI 2,17–10,35), Hazard Ratio für Überleben 0,40 (0,27–0,62; p&lt;0,001). TKI-Zusatz ist unabhängiger prognostischer Faktor.</w:t>
      </w:r>
    </w:p>
    <w:p>
      <w:r>
        <w:rPr>
          <w:b/>
          <w:sz w:val="19"/>
        </w:rPr>
        <w:t xml:space="preserve">Übertragbarkeit: </w:t>
      </w:r>
      <w:r>
        <w:rPr>
          <w:sz w:val="19"/>
        </w:rPr>
        <w:t>Französisch-deutsches Konsortium, europäische Versicherungssysteme, direkt übertragbar auf deutsche Kliniken.</w:t>
      </w:r>
    </w:p>
    <w:p>
      <w:r>
        <w:rPr>
          <w:color w:val="5A7D3A"/>
          <w:sz w:val="18"/>
        </w:rPr>
        <w:t>https://pubmed.ncbi.nlm.nih.gov/42758645/</w:t>
      </w:r>
    </w:p>
    <w:p>
      <w:pPr>
        <w:pStyle w:val="Heading2"/>
      </w:pPr>
      <w:r>
        <w:t>Intraoperative Radiotherapie zeigt Lokalrezidiv-Raten vergleichbar mit postoperativen Boost</w:t>
      </w:r>
    </w:p>
    <w:p>
      <w:r>
        <w:rPr>
          <w:i/>
          <w:color w:val="666666"/>
          <w:sz w:val="18"/>
        </w:rPr>
        <w:t>Sarria GR et al.  ·  Strahlenther Onkol  ·  17.09.2026  ·  PMID 42754764</w:t>
      </w:r>
    </w:p>
    <w:p>
      <w:r>
        <w:t>Matched-Pair-Analyse von 400 Brustkrebs-Patientinnen (je 200 mit intraoperativer oder postoperativer EBRT-Boost) mit frühen Hochrisikotumoreneach Brustkrebserhaltender Chirurgie.</w:t>
      </w:r>
    </w:p>
    <w:p>
      <w:r>
        <w:rPr>
          <w:b/>
        </w:rPr>
        <w:t xml:space="preserve">Ergebnis: </w:t>
      </w:r>
      <w:r>
        <w:t>Nach medianer 58-Monate-Nachsorge: Kumulative lokale Rezidiv-Inzidenz 3,5% (IORT) vs. 2,0% (EBRT); HR 1,80 (95%-KI 0,58–5,58; p=0,312, nicht signifikant). Keine Unterschiede bei Lymphknoten-, Fernmetastasen-freiem Überleben oder Gesamtüberleben (alle p&gt;0,6). IORT ist wirksame, gut verträgliche Alternative ohne Kompromisse im Langzeit-Onkologie.</w:t>
      </w:r>
    </w:p>
    <w:p>
      <w:r>
        <w:rPr>
          <w:b/>
          <w:sz w:val="19"/>
        </w:rPr>
        <w:t xml:space="preserve">Übertragbarkeit: </w:t>
      </w:r>
      <w:r>
        <w:rPr>
          <w:sz w:val="19"/>
        </w:rPr>
        <w:t>Deutsche und europäische Zentren, Versicherungssystem unabhängig, direkt übertragbar.</w:t>
      </w:r>
    </w:p>
    <w:p>
      <w:r>
        <w:rPr>
          <w:color w:val="5A7D3A"/>
          <w:sz w:val="18"/>
        </w:rPr>
        <w:t>https://pubmed.ncbi.nlm.nih.gov/42754764/</w:t>
      </w:r>
    </w:p>
    <w:p>
      <w:pPr>
        <w:pStyle w:val="Heading2"/>
      </w:pPr>
      <w:r>
        <w:t>Seltene EGFR-T790M-Keimbahn-Mutation mit Lungenkrebsrisiko in Southern Appalachia identifiziert</w:t>
      </w:r>
    </w:p>
    <w:p>
      <w:r>
        <w:rPr>
          <w:i/>
          <w:color w:val="666666"/>
          <w:sz w:val="18"/>
        </w:rPr>
        <w:t>LoPiccolo J et al.  ·  Science  ·  17.09.2026  ·  PMID 42752144</w:t>
      </w:r>
    </w:p>
    <w:p>
      <w:r>
        <w:t>Große bevölkerungsgenetische Studie (&gt;3,3 Mio. Personen) zur Assoziation der EGFR-T790M-Variante mit Lungenkrebsrisiko.</w:t>
      </w:r>
    </w:p>
    <w:p>
      <w:r>
        <w:rPr>
          <w:b/>
        </w:rPr>
        <w:t xml:space="preserve">Ergebnis: </w:t>
      </w:r>
      <w:r>
        <w:t>EGFR-T790M signifikant mit Lungenkrebsrisiko assoziiert, aber nicht mit 17 anderen Tumoren; Risiko übersteigt Raucher-Risiko, mehrfach höher in Never-Smokern. Geografisch/ancestral: höhere Prävalenz in USA (Southern-Appalachian-Founder-Event 200–225 Jahre ago, Herkunft britisch/irisch). Prävalenz regional deutlich erhöht, betrifft britische, irische und afrikanische Abstammung. Erkannte Hochrisiko-Träger ermöglichen gezielte genetische Tests und Screening-Strategien.</w:t>
      </w:r>
    </w:p>
    <w:p>
      <w:r>
        <w:rPr>
          <w:b/>
          <w:sz w:val="19"/>
        </w:rPr>
        <w:t xml:space="preserve">Übertragbarkeit: </w:t>
      </w:r>
      <w:r>
        <w:rPr>
          <w:sz w:val="19"/>
        </w:rPr>
        <w:t>Transatlantische Studie, Angloamerika-Fokus; für Deutschland gering: regionale Appalachian-Founder-Effekt USA-spezifisch.</w:t>
      </w:r>
    </w:p>
    <w:p>
      <w:r>
        <w:rPr>
          <w:color w:val="5A7D3A"/>
          <w:sz w:val="18"/>
        </w:rPr>
        <w:t>https://pubmed.ncbi.nlm.nih.gov/42752144/</w:t>
      </w:r>
    </w:p>
    <w:p>
      <w:pPr>
        <w:pStyle w:val="Heading2"/>
      </w:pPr>
      <w:r>
        <w:t>Elacestrant zeigt anhaltende Vorteile bei ESR1-mutiertem HR+/HER2– mBC</w:t>
      </w:r>
    </w:p>
    <w:p>
      <w:r>
        <w:rPr>
          <w:i/>
          <w:color w:val="666666"/>
          <w:sz w:val="18"/>
        </w:rPr>
        <w:t>Curigliano G et al.  ·  ESMO Open  ·  14.09.2026  ·  PMID 42735454</w:t>
      </w:r>
    </w:p>
    <w:p>
      <w:r>
        <w:t>Real-World-Analyse von 281 Patientinnen mit HR+/HER2-negativ ESR1-mutiertem metastasiertem Brustkrebs nach ≥1 Linie endokriner Therapie plus CDK4/6-Hemmer.</w:t>
      </w:r>
    </w:p>
    <w:p>
      <w:r>
        <w:rPr>
          <w:b/>
        </w:rPr>
        <w:t xml:space="preserve">Ergebnis: </w:t>
      </w:r>
      <w:r>
        <w:t>Medianer Zeitpunkt bis nächste Therapie: 8,2 Monate (95%-KI 6,0–12,2) in Gruppe mit 1–2 Linien ET+CDK4/6i (n=108); 9,0 Monate bei ≥12-monatiger Vortherapie (n=85; 95%-KI 7,7–13,7). Mit nur 1 Vorlinientherapie: 12,2 Monate (95%-KI 9,0-nicht erreicht; n=31). Leber-/Lungenmets: 6,9 Monate; Gehirnmets: 7,4 Monate. Koexistente ESR1+PI3K-Mutation: 6,1 Monate. Durable Vorteile unterstützen Elacestrant als Erst-Option für endokrin-sensitive HR+ ESR1-mutierte Tumoren.</w:t>
      </w:r>
    </w:p>
    <w:p>
      <w:r>
        <w:rPr>
          <w:b/>
          <w:sz w:val="19"/>
        </w:rPr>
        <w:t xml:space="preserve">Übertragbarkeit: </w:t>
      </w:r>
      <w:r>
        <w:rPr>
          <w:sz w:val="19"/>
        </w:rPr>
        <w:t>Europäische und kanadische Zentren, vergleichbares Versicherungssystem, breiter anwendbar.</w:t>
      </w:r>
    </w:p>
    <w:p>
      <w:r>
        <w:rPr>
          <w:color w:val="5A7D3A"/>
          <w:sz w:val="18"/>
        </w:rPr>
        <w:t>https://pubmed.ncbi.nlm.nih.gov/42735454/</w:t>
      </w:r>
    </w:p>
    <w:p>
      <w:pPr>
        <w:pStyle w:val="Heading2"/>
      </w:pPr>
      <w:r>
        <w:t>Thymusbestrahlung bei NSCLC mit höherem Metastasen- und Todesrisiko assoziiert</w:t>
      </w:r>
    </w:p>
    <w:p>
      <w:r>
        <w:rPr>
          <w:i/>
          <w:color w:val="666666"/>
          <w:sz w:val="18"/>
        </w:rPr>
        <w:t>Prudente V et al.  ·  Ann Oncol  ·  25.08.2026  ·  PMID 42641684</w:t>
      </w:r>
    </w:p>
    <w:p>
      <w:r>
        <w:t>Multikohorten-Analyse von 1.107 NSCLC-Patienten (RTOG-0617 und zwei Real-World-Kohorten) zur Auswirkung akzidenteller Thymusbestrahlung auf Outcome.</w:t>
      </w:r>
    </w:p>
    <w:p>
      <w:r>
        <w:rPr>
          <w:b/>
        </w:rPr>
        <w:t xml:space="preserve">Ergebnis: </w:t>
      </w:r>
      <w:r>
        <w:t>Mittlere Thymusdosis (MTD) von 1 Gy assoziiert mit 1,57–4,21% erhöhtem Distanzmetastasen-Risiko (RTOG: aHR 1,29, p=0,0028; Harvard-CRT: aHR 1,33, p=0,011; Harvard-Durva: aHR 1,95, p=0,007). Patienten mit erhaltenem Thymus vorher besonders gefährdet. Nach 1 Jahr: Dosis-abhängiger Thymusfunktions-Verlust und niedrigere Lymphozytenzahlen. Neuplanuung-Machbarkeitsstudie zeigte thymussparing möglich ohne Tumorüberdeckungs-Verlust.</w:t>
      </w:r>
    </w:p>
    <w:p>
      <w:r>
        <w:rPr>
          <w:b/>
          <w:sz w:val="19"/>
        </w:rPr>
        <w:t xml:space="preserve">Übertragbarkeit: </w:t>
      </w:r>
      <w:r>
        <w:rPr>
          <w:sz w:val="19"/>
        </w:rPr>
        <w:t>USA-Daten, aber biologischer Mechanismus universal; deutsche Zentren können Planung adaptieren.</w:t>
      </w:r>
    </w:p>
    <w:p>
      <w:r>
        <w:rPr>
          <w:color w:val="5A7D3A"/>
          <w:sz w:val="18"/>
        </w:rPr>
        <w:t>https://pubmed.ncbi.nlm.nih.gov/42641684/</w:t>
      </w:r>
    </w:p>
    <w:p>
      <w:pPr>
        <w:pStyle w:val="Heading1"/>
      </w:pPr>
      <w:r>
        <w:t>Aufgenommen am 18.09.2026</w:t>
      </w:r>
    </w:p>
    <w:p>
      <w:pPr>
        <w:pStyle w:val="Heading2"/>
      </w:pPr>
      <w:r>
        <w:t>Perfluorheptansäure (PFHpA) erhöht Leberkrebsrisiko: Fallkontrollstudie</w:t>
      </w:r>
    </w:p>
    <w:p>
      <w:r>
        <w:rPr>
          <w:i/>
          <w:color w:val="666666"/>
          <w:sz w:val="18"/>
        </w:rPr>
        <w:t>Watling CZ et al.  ·  J Natl Cancer Inst  ·  17.09.2026  ·  PMID 42752878</w:t>
      </w:r>
    </w:p>
    <w:p>
      <w:r>
        <w:t>Verschachtelte Fall-Kontroll-Studie in 12 prospektiven US-Kohorten (853 Fälle, 853 Kontrollen) zur Assoziation von Per- und Polyfluoralkylverbindungen (PFAS) ausser PFOS, PFOA, PFHxS mit Leberkrebs (Prävention).</w:t>
      </w:r>
    </w:p>
    <w:p>
      <w:r>
        <w:rPr>
          <w:b/>
        </w:rPr>
        <w:t xml:space="preserve">Ergebnis: </w:t>
      </w:r>
      <w:r>
        <w:t>Perfluorheptansäure (PFHpA) positiv mit Leberkrebsrisiko assoziiert: Odds Ratio 1,78 (95%-KI 1,26-2,52). Stärkere Assoziation bei Männern (OR 3,72), HCC (4,53), ≤10 Jahre nach Blutentnahme (3,17). Andere PFAS ohne Assoziation.</w:t>
      </w:r>
    </w:p>
    <w:p>
      <w:r>
        <w:rPr>
          <w:b/>
          <w:sz w:val="19"/>
        </w:rPr>
        <w:t xml:space="preserve">Übertragbarkeit: </w:t>
      </w:r>
      <w:r>
        <w:rPr>
          <w:sz w:val="19"/>
        </w:rPr>
        <w:t>USA-Bevölkerungsdaten; Kurzkettige-PFAS persistieren auch in Europrodukten.</w:t>
      </w:r>
    </w:p>
    <w:p>
      <w:r>
        <w:rPr>
          <w:color w:val="5A7D3A"/>
          <w:sz w:val="18"/>
        </w:rPr>
        <w:t>https://pubmed.ncbi.nlm.nih.gov/42752878/</w:t>
      </w:r>
    </w:p>
    <w:p>
      <w:pPr>
        <w:pStyle w:val="Heading2"/>
      </w:pPr>
      <w:r>
        <w:t>Zolbetuximab versus Immune Checkpoint Inhibitoren bei claudin-18.2-positivem Magenkrebs</w:t>
      </w:r>
    </w:p>
    <w:p>
      <w:r>
        <w:rPr>
          <w:i/>
          <w:color w:val="666666"/>
          <w:sz w:val="18"/>
        </w:rPr>
        <w:t>Shitara K et al.  ·  ESMO Open  ·  16.09.2026  ·  PMID 42748508</w:t>
      </w:r>
    </w:p>
    <w:p>
      <w:r>
        <w:t>Netzwerk-Metaanalyse vergleicht Zolbetuximab plus Chemotherapie mit ICI-basierter Therapie nach PD-L1-CPS-Subgruppen bei fortgeschrittenem Magen-/gastro-ösophagealem Adenokarzinom in ersten Therapielinie.</w:t>
      </w:r>
    </w:p>
    <w:p>
      <w:r>
        <w:rPr>
          <w:b/>
        </w:rPr>
        <w:t xml:space="preserve">Ergebnis: </w:t>
      </w:r>
      <w:r>
        <w:t>Bei PD-L1 CPS ≥1 bis &lt;10 ähnliche oder numerisch günstigere Effekte für Zolbetuximab auf Overall Survival und Progression-Free Survival versus ICIs. Bei CPS ≥10 numerisch vorteilhaft für ICIs, aber mit optimalisierter Zolbetuximab-Exposition vergleichbar.</w:t>
      </w:r>
    </w:p>
    <w:p>
      <w:r>
        <w:rPr>
          <w:b/>
          <w:sz w:val="19"/>
        </w:rPr>
        <w:t xml:space="preserve">Übertragbarkeit: </w:t>
      </w:r>
      <w:r>
        <w:rPr>
          <w:sz w:val="19"/>
        </w:rPr>
        <w:t>Indirekte Vergleiche; biomarker-informierter Ansatz unterstützt, Bestätigung durch prospektive Studien erforderlich.</w:t>
      </w:r>
    </w:p>
    <w:p>
      <w:r>
        <w:rPr>
          <w:color w:val="5A7D3A"/>
          <w:sz w:val="18"/>
        </w:rPr>
        <w:t>https://pubmed.ncbi.nlm.nih.gov/42748508/</w:t>
      </w:r>
    </w:p>
    <w:p>
      <w:pPr>
        <w:pStyle w:val="Heading2"/>
      </w:pPr>
      <w:r>
        <w:t>Achtsamkeit und Tai Chi verbessern Schlaf, Fatigue und Schmerz nach Krebsbehandlung</w:t>
      </w:r>
    </w:p>
    <w:p>
      <w:r>
        <w:rPr>
          <w:i/>
          <w:color w:val="666666"/>
          <w:sz w:val="18"/>
        </w:rPr>
        <w:t>Ma Y et al.  ·  J Clin Oncol  ·  16.09.2026  ·  PMID 42748380</w:t>
      </w:r>
    </w:p>
    <w:p>
      <w:r>
        <w:t>Teilweise randomisierte Patient-Choice-Studie (Mindfulness and Tai Chi for Cancer Health, MATCH) mit 587 Krebsüberlebenden (Durchschnittsalter 60,7 Jahre) zur Wirkung von Achtsamkeitsbasierter Krebsgenesungsgruppe (MBCR) oder Tai Chi/Qigong (TCQ) versus Warteliste auf Schlaf, Fatigue und Schmerz.</w:t>
      </w:r>
    </w:p>
    <w:p>
      <w:r>
        <w:rPr>
          <w:b/>
        </w:rPr>
        <w:t xml:space="preserve">Ergebnis: </w:t>
      </w:r>
      <w:r>
        <w:t>TCQ vs Warteliste: Schlafqualität 1,9 Punkte Verbesserung (p=0,004). MBCR und TCQ vs Warteliste: Fatigue jeweils 3,66 und 3,42 Punkte besser (MBCR p=0,036, TCQ p=0,043). Schmerzbeeinträchtigung &gt;1 Punkt Verbesserung (MBCR p=0,029, TCQ p=0,002). MBCR und TCQ unterschieden sich nicht.</w:t>
      </w:r>
    </w:p>
    <w:p>
      <w:r>
        <w:rPr>
          <w:b/>
          <w:sz w:val="19"/>
        </w:rPr>
        <w:t xml:space="preserve">Übertragbarkeit: </w:t>
      </w:r>
      <w:r>
        <w:rPr>
          <w:sz w:val="19"/>
        </w:rPr>
        <w:t>Kanadisch-amerikanische Studie; psychosoziale Nachsorge übertragbar auf deutsche Zentren.</w:t>
      </w:r>
    </w:p>
    <w:p>
      <w:r>
        <w:rPr>
          <w:color w:val="5A7D3A"/>
          <w:sz w:val="18"/>
        </w:rPr>
        <w:t>https://pubmed.ncbi.nlm.nih.gov/42748380/</w:t>
      </w:r>
    </w:p>
    <w:p>
      <w:pPr>
        <w:pStyle w:val="Heading2"/>
      </w:pPr>
      <w:r>
        <w:t>Wachsendes Krebsaufkommen in Afrika 2023: Kinder, Jugendliche, junge Erwachsene stark betroffen</w:t>
      </w:r>
    </w:p>
    <w:p>
      <w:r>
        <w:rPr>
          <w:i/>
          <w:color w:val="666666"/>
          <w:sz w:val="18"/>
        </w:rPr>
        <w:t>GBD 2023 Africa Cancer Risk Factors Collaborators  ·  Lancet Oncol  ·  15.09.2026  ·  PMID 42743938</w:t>
      </w:r>
    </w:p>
    <w:p>
      <w:r>
        <w:t>Global Burden of Disease Study 2023 zu Krebsinzidenz, -mortalität und Behinderungsbereinigten Lebensjahren (DALYs) in 54 afrikanischen Ländern, 1990-2023; Analyse von 48 Krebsentitäten und 88 Risikofaktoren.</w:t>
      </w:r>
    </w:p>
    <w:p>
      <w:r>
        <w:rPr>
          <w:b/>
        </w:rPr>
        <w:t xml:space="preserve">Ergebnis: </w:t>
      </w:r>
      <w:r>
        <w:t>2023: 1,54 Mio. neue Fälle (95%-UI 1,37-1,75), 923 000 Todesfälle (824 000-1 020 000), 33,9 Mio. DALYs in Afrika. Kinder 0-19 Jahre: 104 000 Fälle (27,7% global), 38,0% globaler Todesfälle. 31,6% DALYs attributiv modifiable Risikofaktoren.</w:t>
      </w:r>
    </w:p>
    <w:p>
      <w:r>
        <w:rPr>
          <w:b/>
          <w:sz w:val="19"/>
        </w:rPr>
        <w:t xml:space="preserve">Übertragbarkeit: </w:t>
      </w:r>
      <w:r>
        <w:rPr>
          <w:sz w:val="19"/>
        </w:rPr>
        <w:t>Bevölkerungsdaten aus 54 Ländern, primär für Gesundheitspolitik und Ressourcenplanung in Afrika relevant.</w:t>
      </w:r>
    </w:p>
    <w:p>
      <w:r>
        <w:rPr>
          <w:color w:val="5A7D3A"/>
          <w:sz w:val="18"/>
        </w:rPr>
        <w:t>https://pubmed.ncbi.nlm.nih.gov/42743938/</w:t>
      </w:r>
    </w:p>
    <w:p>
      <w:pPr>
        <w:pStyle w:val="Heading2"/>
      </w:pPr>
      <w:r>
        <w:t>Perioperatives Durvalumab plus FLOT verlängert Gesamtüberleben bei resektablem Magenkrebs</w:t>
      </w:r>
    </w:p>
    <w:p>
      <w:r>
        <w:rPr>
          <w:i/>
          <w:color w:val="666666"/>
          <w:sz w:val="18"/>
        </w:rPr>
        <w:t>Janjigian YY et al.  ·  Lancet  ·  19.09.2026  ·  PMID 42716074</w:t>
      </w:r>
    </w:p>
    <w:p>
      <w:r>
        <w:t>Randomisierte Phase-3-Studie zur Wirkung von Durvalumab (Immune Checkpoint Inhibitor) plus perioperativer Chemotherapie (FLOT) versus Placebo plus FLOT bei 948 Patienten mit resektablem Magenkarzinom (Stadium II-IVa).</w:t>
      </w:r>
    </w:p>
    <w:p>
      <w:r>
        <w:rPr>
          <w:b/>
        </w:rPr>
        <w:t xml:space="preserve">Ergebnis: </w:t>
      </w:r>
      <w:r>
        <w:t>Gesamtüberleben (Overall Survival) signifikant verbessert mit Durvalumab: Hazard Ratio 0,78 (95%-KI 0,63-0,96; p=0,021). Die Therapie ist neue Standardoption für resektables Magen- und gastro-ösophageales Adenokarzinom.</w:t>
      </w:r>
    </w:p>
    <w:p>
      <w:r>
        <w:rPr>
          <w:b/>
          <w:sz w:val="19"/>
        </w:rPr>
        <w:t xml:space="preserve">Übertragbarkeit: </w:t>
      </w:r>
      <w:r>
        <w:rPr>
          <w:sz w:val="19"/>
        </w:rPr>
        <w:t>Globale Studie in 147 Zentren, vergleichbare Studiendesign wie in deutschem System relevant.</w:t>
      </w:r>
    </w:p>
    <w:p>
      <w:r>
        <w:rPr>
          <w:color w:val="5A7D3A"/>
          <w:sz w:val="18"/>
        </w:rPr>
        <w:t>https://pubmed.ncbi.nlm.nih.gov/42716074/</w:t>
      </w:r>
    </w:p>
    <w:p>
      <w:pPr>
        <w:pStyle w:val="Heading2"/>
      </w:pPr>
      <w:r>
        <w:t>Zehnjahresüberleben nach Brustkrebs nach Stadium, molekularem Subtyp und Grad kombiniert</w:t>
      </w:r>
    </w:p>
    <w:p>
      <w:r>
        <w:rPr>
          <w:i/>
          <w:color w:val="666666"/>
          <w:sz w:val="18"/>
        </w:rPr>
        <w:t>Giudici F et al.  ·  Oncologist  ·  09.09.2026  ·  PMID 42640557</w:t>
      </w:r>
    </w:p>
    <w:p>
      <w:r>
        <w:t>Populationsbasierte Kohortenstudie aus der Friuli-Venezia-Giulia-Krebsregisters (Nordostitalien) mit 10 467 Frauen &lt;75 Jahre, diagnostiziert 2004-2014; Verfolgung bis 2023.</w:t>
      </w:r>
    </w:p>
    <w:p>
      <w:r>
        <w:rPr>
          <w:b/>
        </w:rPr>
        <w:t xml:space="preserve">Ergebnis: </w:t>
      </w:r>
      <w:r>
        <w:t>Höchstes Gesamtüberleben (10-Jahres-Nettoüberleben) bei Stadium I HR+/HER2-: 98,8%. Tiefste bei Stadium III Triple-Negativ: 35,1%. Stadium IV Triple-Negativ: 6,7% vs HR-/HER2+: 18,9%. Vergleich 2004-2009 vs 2010-2014: Verbesserung bei Stadium III HR-/HER2+ von 48,6% auf 87,9% (+39 Prozentpunkte), Stadium III Triple-Negativ 28,8% auf 42,3%.</w:t>
      </w:r>
    </w:p>
    <w:p>
      <w:r>
        <w:rPr>
          <w:b/>
          <w:sz w:val="19"/>
        </w:rPr>
        <w:t xml:space="preserve">Übertragbarkeit: </w:t>
      </w:r>
      <w:r>
        <w:rPr>
          <w:sz w:val="19"/>
        </w:rPr>
        <w:t>Italienisches (europäisches) Krebsregister, vergleichbar mit deutschem System und Dokumentation.</w:t>
      </w:r>
    </w:p>
    <w:p>
      <w:r>
        <w:rPr>
          <w:color w:val="5A7D3A"/>
          <w:sz w:val="18"/>
        </w:rPr>
        <w:t>https://pubmed.ncbi.nlm.nih.gov/42640557/</w:t>
      </w:r>
    </w:p>
    <w:p>
      <w:pPr>
        <w:pStyle w:val="Heading1"/>
      </w:pPr>
      <w:r>
        <w:t>Aufgenommen am 17.09.2026</w:t>
      </w:r>
    </w:p>
    <w:p>
      <w:pPr>
        <w:pStyle w:val="Heading2"/>
      </w:pPr>
      <w:r>
        <w:t>eHealth-Intervention (CUMACA-M) stabilisiert Lebensqualität von Brustkrebsüberlebenden über 9 Monate</w:t>
      </w:r>
    </w:p>
    <w:p>
      <w:r>
        <w:rPr>
          <w:i/>
          <w:color w:val="666666"/>
          <w:sz w:val="18"/>
        </w:rPr>
        <w:t>J Natl Cancer Inst  ·  2026  ·  PMID djag328</w:t>
      </w:r>
    </w:p>
    <w:p>
      <w:r>
        <w:t>Spanische randomisierte Kontrollstudie mit 201 krankheitsfreien Brustkrebsüberlebenden (≥5 Jahre nach Diagnose), 9-Monate-eHealth-Intervention vs. Standardcare.</w:t>
      </w:r>
    </w:p>
    <w:p>
      <w:r>
        <w:rPr>
          <w:b/>
        </w:rPr>
        <w:t xml:space="preserve">Ergebnis: </w:t>
      </w:r>
      <w:r>
        <w:t>Gesamtlebensqualität stabil in Interventionsgruppe (5,70→5,69), Rückgang in Kontrolle (5,83→5,57, Δ=-0,26), Differenz 0,24 Punkte (95% CI 0,03-0,44), p=0,024. Psychisches Wohlbefinden Cohen d=0,40, physisches d=0,28.</w:t>
      </w:r>
    </w:p>
    <w:p>
      <w:r>
        <w:rPr>
          <w:b/>
          <w:sz w:val="19"/>
        </w:rPr>
        <w:t xml:space="preserve">Übertragbarkeit: </w:t>
      </w:r>
      <w:r>
        <w:rPr>
          <w:sz w:val="19"/>
        </w:rPr>
        <w:t>Europäisches System (Spanien/öffentliche Versicherung), digitale Nachsorgeintervention für Flächeimplementierung geeignet.</w:t>
      </w:r>
    </w:p>
    <w:p>
      <w:r>
        <w:rPr>
          <w:color w:val="5A7D3A"/>
          <w:sz w:val="18"/>
        </w:rPr>
        <w:t>https://pubmed.ncbi.nlm.nih.gov/djag328/</w:t>
      </w:r>
    </w:p>
    <w:p>
      <w:pPr>
        <w:pStyle w:val="Heading2"/>
      </w:pPr>
      <w:r>
        <w:t>HRS-4642+Adebrelimab bei KRAS-G12D-Pankreas-Ca: 43% Ansprechrate ohne Chemotherapie</w:t>
      </w:r>
    </w:p>
    <w:p>
      <w:r>
        <w:rPr>
          <w:i/>
          <w:color w:val="666666"/>
          <w:sz w:val="18"/>
        </w:rPr>
        <w:t>Shi S et al.  ·  Cancer Cell  ·  16.09.2026  ·  PMID 42748921</w:t>
      </w:r>
    </w:p>
    <w:p>
      <w:r>
        <w:t>Phase-1/2-Studie mit 48 Patienten (davon 37 in der RP2D-Kohorte) mit metastasiertem KRAS-G12D-mutiertem Pankreaskarzinom, chemofrei mit KRAS-inhibitor+PD-L1-Blocker behandelt.</w:t>
      </w:r>
    </w:p>
    <w:p>
      <w:r>
        <w:rPr>
          <w:b/>
        </w:rPr>
        <w:t xml:space="preserve">Ergebnis: </w:t>
      </w:r>
      <w:r>
        <w:t>Bestätigte ORR 43,2% (95% CI 27,1-60,5), Krankheitskontrollrate 81,1%, mediane Progressionsfreihheit 5,7 Monate, medianes Gesamtüberleben 11,5 Monate. Häufigste Nebenwirkungen: Hypercholesterinämie und Anämie je 50%.</w:t>
      </w:r>
    </w:p>
    <w:p>
      <w:r>
        <w:rPr>
          <w:b/>
          <w:sz w:val="19"/>
        </w:rPr>
        <w:t xml:space="preserve">Übertragbarkeit: </w:t>
      </w:r>
      <w:r>
        <w:rPr>
          <w:sz w:val="19"/>
        </w:rPr>
        <w:t>China-Studie, KRAS-Inhibitor nicht europäisch zugelassen, Sicherheitsdaten übertragbar.</w:t>
      </w:r>
    </w:p>
    <w:p>
      <w:r>
        <w:rPr>
          <w:color w:val="5A7D3A"/>
          <w:sz w:val="18"/>
        </w:rPr>
        <w:t>https://pubmed.ncbi.nlm.nih.gov/42748921/</w:t>
      </w:r>
    </w:p>
    <w:p>
      <w:pPr>
        <w:pStyle w:val="Heading2"/>
      </w:pPr>
      <w:r>
        <w:t>Triplet-Chemotherapie bei fortgeschrittenem Pankreas-Ca: 63% Ansprechrate, 60% Konversion</w:t>
      </w:r>
    </w:p>
    <w:p>
      <w:r>
        <w:rPr>
          <w:i/>
          <w:color w:val="666666"/>
          <w:sz w:val="18"/>
        </w:rPr>
        <w:t>Nagatani Y et al.  ·  Eur J Cancer  ·  10.09.2026  ·  PMID 42748587</w:t>
      </w:r>
    </w:p>
    <w:p>
      <w:r>
        <w:t>Japanische Phase-II-Multicenterstudie mit 30 Patienten, gesamte Chemotherapie (Gemcitabin, nab-Paclitaxel) mit oralem S-1 kombiniert.</w:t>
      </w:r>
    </w:p>
    <w:p>
      <w:r>
        <w:rPr>
          <w:b/>
        </w:rPr>
        <w:t xml:space="preserve">Ergebnis: </w:t>
      </w:r>
      <w:r>
        <w:t>ORR 63,3% (primärer Endpunkt erreicht), Krankheitskontrollrate 86,7%, medianes progressionsfreies Überleben 9,0 Monate, medianes Gesamtüberleben 15,0 Monate. 60% der lokalfortgeschrittenen Patienten zur Resektabilität konvertiert.</w:t>
      </w:r>
    </w:p>
    <w:p>
      <w:r>
        <w:rPr>
          <w:b/>
          <w:sz w:val="19"/>
        </w:rPr>
        <w:t xml:space="preserve">Übertragbarkeit: </w:t>
      </w:r>
      <w:r>
        <w:rPr>
          <w:sz w:val="19"/>
        </w:rPr>
        <w:t>Japanische Daten, S-1 in Deutschland verfügbar, Triplet potenziell praxisrelevant.</w:t>
      </w:r>
    </w:p>
    <w:p>
      <w:r>
        <w:rPr>
          <w:color w:val="5A7D3A"/>
          <w:sz w:val="18"/>
        </w:rPr>
        <w:t>https://pubmed.ncbi.nlm.nih.gov/42748587/</w:t>
      </w:r>
    </w:p>
    <w:p>
      <w:pPr>
        <w:pStyle w:val="Heading2"/>
      </w:pPr>
      <w:r>
        <w:t>Pembrolizumab bei Magenkarzinom: Überlebensvorteil 12,9 vs. 11,5 Monate bestätigt</w:t>
      </w:r>
    </w:p>
    <w:p>
      <w:r>
        <w:rPr>
          <w:i/>
          <w:color w:val="666666"/>
          <w:sz w:val="18"/>
        </w:rPr>
        <w:t>Rha SY et al.  ·  ESMO Open  ·  16.09.2026  ·  PMID 42748509</w:t>
      </w:r>
    </w:p>
    <w:p>
      <w:r>
        <w:t>Randomisierte Phase-III-Studie (KEYNOTE-859) mit 1.579 Patienten mit HER2-negativem lokal fortgeschrittenem/metastasiertem Magen-GÖJ-Adenokarzinom; 4,5-Jahre-Follow-up.</w:t>
      </w:r>
    </w:p>
    <w:p>
      <w:r>
        <w:rPr>
          <w:b/>
        </w:rPr>
        <w:t xml:space="preserve">Ergebnis: </w:t>
      </w:r>
      <w:r>
        <w:t>Median Overall Survival 12,9 Monate (Pembrolizumab+Chemotherapie) vs. 11,5 Monate (Placebo+Chemotherapie), Hazard Ratio 0,78 (95% CI 0,70-0,86). Grade-3/4-Nebenwirkungen 58,3% vs. 49,3%.</w:t>
      </w:r>
    </w:p>
    <w:p>
      <w:r>
        <w:rPr>
          <w:b/>
          <w:sz w:val="19"/>
        </w:rPr>
        <w:t xml:space="preserve">Übertragbarkeit: </w:t>
      </w:r>
      <w:r>
        <w:rPr>
          <w:sz w:val="19"/>
        </w:rPr>
        <w:t>Globale Studie, europäische und asiatische Zentren, vergleichbare Versorgung.</w:t>
      </w:r>
    </w:p>
    <w:p>
      <w:r>
        <w:rPr>
          <w:color w:val="5A7D3A"/>
          <w:sz w:val="18"/>
        </w:rPr>
        <w:t>https://pubmed.ncbi.nlm.nih.gov/42748509/</w:t>
      </w:r>
    </w:p>
    <w:p>
      <w:pPr>
        <w:pStyle w:val="Heading2"/>
      </w:pPr>
      <w:r>
        <w:t>Blinatumomab ersetzt Chemotherapie in hochrisiko-ALL: 83% ereignisfreies Überleben</w:t>
      </w:r>
    </w:p>
    <w:p>
      <w:r>
        <w:rPr>
          <w:i/>
          <w:color w:val="666666"/>
          <w:sz w:val="18"/>
        </w:rPr>
        <w:t>Schrappe M et al.  ·  N Engl J Med  ·  17.09.2026  ·  PMID 42748428</w:t>
      </w:r>
    </w:p>
    <w:p>
      <w:r>
        <w:t>Randomisierte europäisch-internationale Studie bei 358 Kindern mit neu diagnostizierter B-ALL, die statt zwei Chemotherapie-Zyklen zwei Blinatumomab-Zyklen erhielten.</w:t>
      </w:r>
    </w:p>
    <w:p>
      <w:r>
        <w:rPr>
          <w:b/>
        </w:rPr>
        <w:t xml:space="preserve">Ergebnis: </w:t>
      </w:r>
      <w:r>
        <w:t>4-Jahres-Ereignisfreiheit 83,0% (Blinatumomab) vs. 70,3% (Kontrolle), Hazard Ratio 0,51, p=0,0002. Behandlungsbedingte Infektionen: 23,9% vs. 69,4%, lebensbedrohliche Ereignisse 0,5% vs. 4,7%.</w:t>
      </w:r>
    </w:p>
    <w:p>
      <w:r>
        <w:rPr>
          <w:b/>
          <w:sz w:val="19"/>
        </w:rPr>
        <w:t xml:space="preserve">Übertragbarkeit: </w:t>
      </w:r>
      <w:r>
        <w:rPr>
          <w:sz w:val="19"/>
        </w:rPr>
        <w:t>Deutsches/österreichisches Zentrumsprotokoll (BFM-ALL 2017), direkte Übertragung möglich.</w:t>
      </w:r>
    </w:p>
    <w:p>
      <w:r>
        <w:rPr>
          <w:color w:val="5A7D3A"/>
          <w:sz w:val="18"/>
        </w:rPr>
        <w:t>https://pubmed.ncbi.nlm.nih.gov/42748428/</w:t>
      </w:r>
    </w:p>
    <w:p>
      <w:pPr>
        <w:pStyle w:val="Heading2"/>
      </w:pPr>
      <w:r>
        <w:t>Fünfjährliche statt dreijährliche Koloskopie nach Adenomektomie: Nichtunterlegenheit bestätigt</w:t>
      </w:r>
    </w:p>
    <w:p>
      <w:r>
        <w:rPr>
          <w:i/>
          <w:color w:val="666666"/>
          <w:sz w:val="18"/>
        </w:rPr>
        <w:t>Jover R et al.  ·  N Engl J Med  ·  17.09.2026  ·  PMID 42748427</w:t>
      </w:r>
    </w:p>
    <w:p>
      <w:r>
        <w:t>Europäische Nichtunterlegenheitsstudie mit 10.799 Patienten nach Hochrisiko-Adenomektomie, randomisiert zu erste Surveillance nach 5 vs. 3 Jahren.</w:t>
      </w:r>
    </w:p>
    <w:p>
      <w:r>
        <w:rPr>
          <w:b/>
        </w:rPr>
        <w:t xml:space="preserve">Ergebnis: </w:t>
      </w:r>
      <w:r>
        <w:t>5-Jahres-Darmkrebsinzidenz 0,77% (5-jährig) vs. 0,82% (3-jährig), Nichtunterlegenheitsgrenze erreicht. Krebstodesfälle: 0,06% vs. 0,04%.</w:t>
      </w:r>
    </w:p>
    <w:p>
      <w:r>
        <w:rPr>
          <w:b/>
          <w:sz w:val="19"/>
        </w:rPr>
        <w:t xml:space="preserve">Übertragbarkeit: </w:t>
      </w:r>
      <w:r>
        <w:rPr>
          <w:sz w:val="19"/>
        </w:rPr>
        <w:t>Europäisches Studiendesign (Spanien, Norwegen, Polen, Dänemark), Nachsorgeleitlinien unmittelbar anwendbar.</w:t>
      </w:r>
    </w:p>
    <w:p>
      <w:r>
        <w:rPr>
          <w:color w:val="5A7D3A"/>
          <w:sz w:val="18"/>
        </w:rPr>
        <w:t>https://pubmed.ncbi.nlm.nih.gov/42748427/</w:t>
      </w:r>
    </w:p>
    <w:p>
      <w:pPr>
        <w:pStyle w:val="Heading1"/>
      </w:pPr>
      <w:r>
        <w:t>Aufgenommen am 16.09.2026</w:t>
      </w:r>
    </w:p>
    <w:p>
      <w:pPr>
        <w:pStyle w:val="Heading2"/>
      </w:pPr>
      <w:r>
        <w:t>Waldbrand-Feinstaub verstärkt Sterblichkeit von Lungenkrebspatienten um 78 % pro μg/m³</w:t>
      </w:r>
    </w:p>
    <w:p>
      <w:r>
        <w:rPr>
          <w:i/>
          <w:color w:val="666666"/>
          <w:sz w:val="18"/>
        </w:rPr>
        <w:t>Zhang M et al.  ·  Lancet Oncol  ·  15.09.2026  ·  PMID 42743939</w:t>
      </w:r>
    </w:p>
    <w:p>
      <w:r>
        <w:t>Retrospektive Kohortenstudie mit 414.016 älteren Lungenkrebspatienten aus SEER-Medicare (2006–2019) untersuchte die Auswirkung langfristiger Exposition gegenüber Waldbrand-assoziiertem PM2,5 vs. Nicht-Waldbrand-PM2,5 auf Overall Survival.</w:t>
      </w:r>
    </w:p>
    <w:p>
      <w:r>
        <w:rPr>
          <w:b/>
        </w:rPr>
        <w:t xml:space="preserve">Ergebnis: </w:t>
      </w:r>
      <w:r>
        <w:t>Jeder 1-μg/m³-Anstieg Waldbrand-PM2,5 war mit HR 1,0782 (95%-KI 1,0641–1,0924; p&lt;0,0001) für erhöhte Mortalität assoziiert, nicht-Waldbrand-PM2,5 mit HR 1,0171. Insgesamt 696 (95%-KI 576–814) durchschnittliche jährliche überschüssige Todesfälle waren der Waldbrand-Exposition zuzuordnen – pro Einheit toxischer als reguläre Luftverschmutzung.</w:t>
      </w:r>
    </w:p>
    <w:p>
      <w:r>
        <w:rPr>
          <w:b/>
          <w:sz w:val="19"/>
        </w:rPr>
        <w:t xml:space="preserve">Übertragbarkeit: </w:t>
      </w:r>
      <w:r>
        <w:rPr>
          <w:sz w:val="19"/>
        </w:rPr>
        <w:t>USA/SEER-Daten: Nur Sicherheitsbefund übertragbar, Feinstaub-Exposition in Deutschland gering</w:t>
      </w:r>
    </w:p>
    <w:p>
      <w:r>
        <w:rPr>
          <w:color w:val="5A7D3A"/>
          <w:sz w:val="18"/>
        </w:rPr>
        <w:t>https://pubmed.ncbi.nlm.nih.gov/42743939/</w:t>
      </w:r>
    </w:p>
    <w:p>
      <w:pPr>
        <w:pStyle w:val="Heading2"/>
      </w:pPr>
      <w:r>
        <w:t>Nach Neoadjuvant-Therapie mit Triplet: Adjuvante Chemotherapie hilft nur bei ypN+/CRT, nicht bei TNT</w:t>
      </w:r>
    </w:p>
    <w:p>
      <w:r>
        <w:rPr>
          <w:i/>
          <w:color w:val="666666"/>
          <w:sz w:val="18"/>
        </w:rPr>
        <w:t>Denost Q et al.  ·  Eur J Cancer  ·  11.09.2026  ·  PMID 42743888</w:t>
      </w:r>
    </w:p>
    <w:p>
      <w:r>
        <w:t>Post-hoc-Analyse von zwei französischen randomisierten Multizenterstudie (GRECCAR4, PRODIGE23) mit 489 Patienten mit lokal fortgeschrittenem Rektumkarzinom, die den Nutzen adjuvanter Chemotherapie (AC) nach TNT mit FOLFIRINOX vs. CRT bewertete.</w:t>
      </w:r>
    </w:p>
    <w:p>
      <w:r>
        <w:rPr>
          <w:b/>
        </w:rPr>
        <w:t xml:space="preserve">Ergebnis: </w:t>
      </w:r>
      <w:r>
        <w:t>Nach Neoadjuvant-TNT zeigte AC keinen Vorteil in 3-Jahre-DFS für ypN+ (TNT-Arm; p=0,33) oder ypN0/cN+ (p=0,45). Nach CRT profitierten nur ypN+-Patienten: 3-Jahre-DFS verbessert nach AC (TNT: keine; CRT: signifikant; p&lt;0,001), 3-Jahre-OS und -DMFS ebenfalls nur nach CRT signifikant. Diese Daten unterstützen Therapie-Deeskalation in der TNT-Ära.</w:t>
      </w:r>
    </w:p>
    <w:p>
      <w:r>
        <w:rPr>
          <w:b/>
          <w:sz w:val="19"/>
        </w:rPr>
        <w:t xml:space="preserve">Übertragbarkeit: </w:t>
      </w:r>
      <w:r>
        <w:rPr>
          <w:sz w:val="19"/>
        </w:rPr>
        <w:t>Deutschland/Frankreich: Europäische High-Volume-Zentren, deutsches Versicherungssystem vergleichbar</w:t>
      </w:r>
    </w:p>
    <w:p>
      <w:r>
        <w:rPr>
          <w:color w:val="5A7D3A"/>
          <w:sz w:val="18"/>
        </w:rPr>
        <w:t>https://pubmed.ncbi.nlm.nih.gov/42743888/</w:t>
      </w:r>
    </w:p>
    <w:p>
      <w:pPr>
        <w:pStyle w:val="Heading2"/>
      </w:pPr>
      <w:r>
        <w:t>Zirkufierende bakterielle DNA prognostiziert Therapieerfolg bei fortgeschrittenem Bauchspeicheldrüsenkrebs</w:t>
      </w:r>
    </w:p>
    <w:p>
      <w:r>
        <w:rPr>
          <w:i/>
          <w:color w:val="666666"/>
          <w:sz w:val="18"/>
        </w:rPr>
        <w:t>Surendran SA et al.  ·  Eur J Cancer  ·  10.09.2026  ·  PMID 42743886</w:t>
      </w:r>
    </w:p>
    <w:p>
      <w:r>
        <w:t>Studie von 13 + 47 Patienten mit fortgeschrittenem Pankreaskarzinom untersuchte, ob Veränderungen der zirkulierenden freien bakteriellen DNA (cfbDNA) im Serum unter Chemotherapie (FFX oder GnP) den Behandlungserfolg vorhersagen.</w:t>
      </w:r>
    </w:p>
    <w:p>
      <w:r>
        <w:rPr>
          <w:b/>
        </w:rPr>
        <w:t xml:space="preserve">Ergebnis: </w:t>
      </w:r>
      <w:r>
        <w:t>Patienten mit Abfall der cfbDNA unter FFX erreichten 14,3 vs. 2,9 Monate PFS (p&lt;0,001) und 23,2 vs. 8,4 Monate OS (p=0,006). Ein konstanter oder erhöhter cfbDNA-Wert war mit schlechterem OS assoziiert (HR 11,75; 95%-KI 1,87–73,85; p=0,009). Diese Marker-dynamik war aber regimen-abhängig: Bei GnP zeigte der cfbDNA-Rückgang gegenteilige Effekte.</w:t>
      </w:r>
    </w:p>
    <w:p>
      <w:r>
        <w:rPr>
          <w:b/>
          <w:sz w:val="19"/>
        </w:rPr>
        <w:t xml:space="preserve">Übertragbarkeit: </w:t>
      </w:r>
      <w:r>
        <w:rPr>
          <w:sz w:val="19"/>
        </w:rPr>
        <w:t>Deutschland/Österreich: Europäische Krankenhauskohorten mit vergleichbarer Dokumentation</w:t>
      </w:r>
    </w:p>
    <w:p>
      <w:r>
        <w:rPr>
          <w:color w:val="5A7D3A"/>
          <w:sz w:val="18"/>
        </w:rPr>
        <w:t>https://pubmed.ncbi.nlm.nih.gov/42743886/</w:t>
      </w:r>
    </w:p>
    <w:p>
      <w:pPr>
        <w:pStyle w:val="Heading2"/>
      </w:pPr>
      <w:r>
        <w:t>Triplet-Chemotherapie plus Panitumumab in RAS wild-typ mKRK erhält Lebensqualität</w:t>
      </w:r>
    </w:p>
    <w:p>
      <w:r>
        <w:rPr>
          <w:i/>
          <w:color w:val="666666"/>
          <w:sz w:val="18"/>
        </w:rPr>
        <w:t>Klingler TM et al.  ·  Eur J Cancer  ·  11.09.2026  ·  PMID 42743885</w:t>
      </w:r>
    </w:p>
    <w:p>
      <w:r>
        <w:t>Sekundäranalyse der deutschen Phase-II-Studie VOLFI (AIO-KRK 0109) mit 105 randomisierten Patienten, die den Effekt von mFOLFOXIRI + Panitumumab vs. FOLFOXIRI auf Lebensqualität (EORTC QLQ-C30) untersuchte.</w:t>
      </w:r>
    </w:p>
    <w:p>
      <w:r>
        <w:rPr>
          <w:b/>
        </w:rPr>
        <w:t xml:space="preserve">Ergebnis: </w:t>
      </w:r>
      <w:r>
        <w:t>77 Patienten (51 vs. 26) führten ≥1 Lebensqualitäts-Fragebogen aus. Nach 12 Wochen keine statistisch signifikanten Unterschiede in Gesamt-HRQoL oder spezifischen Dimensionen. Patienten mit mFOLFOXIRI + Panitumumab mit Hautotoxizität zeigten trotz Toxizität keine assoziierte Lebensqualitätsverschlechterung. mFOLFOXIRI + Panitumumab war nicht mit schlechterer HRQoL assoziiert.</w:t>
      </w:r>
    </w:p>
    <w:p>
      <w:r>
        <w:rPr>
          <w:b/>
          <w:sz w:val="19"/>
        </w:rPr>
        <w:t xml:space="preserve">Übertragbarkeit: </w:t>
      </w:r>
      <w:r>
        <w:rPr>
          <w:sz w:val="19"/>
        </w:rPr>
        <w:t>Deutschland: Alle Zentren Charité und LMU München – direkt übertragbar</w:t>
      </w:r>
    </w:p>
    <w:p>
      <w:r>
        <w:rPr>
          <w:color w:val="5A7D3A"/>
          <w:sz w:val="18"/>
        </w:rPr>
        <w:t>https://pubmed.ncbi.nlm.nih.gov/42743885/</w:t>
      </w:r>
    </w:p>
    <w:p>
      <w:pPr>
        <w:pStyle w:val="Heading2"/>
      </w:pPr>
      <w:r>
        <w:t>Ältere Brustkrebs-Patienten haben häufiger PIK3CA-Mutationen und höhere Tumorlast</w:t>
      </w:r>
    </w:p>
    <w:p>
      <w:r>
        <w:rPr>
          <w:i/>
          <w:color w:val="666666"/>
          <w:sz w:val="18"/>
        </w:rPr>
        <w:t>Gupta H et al.  ·  ESMO Open  ·  14.09.2026  ·  PMID 42735455</w:t>
      </w:r>
    </w:p>
    <w:p>
      <w:r>
        <w:t>Studie von 2.379 Patienten mit metastasiertem Brustkrebs (853 jung, 1.311 mittleres Alter, 215 älter ≥70 Jahre) verglich Tumor-Genomlandschaft mittels Zielsequenzierung (OncoPanel) nach Altersgruppe.</w:t>
      </w:r>
    </w:p>
    <w:p>
      <w:r>
        <w:rPr>
          <w:b/>
        </w:rPr>
        <w:t xml:space="preserve">Ergebnis: </w:t>
      </w:r>
      <w:r>
        <w:t>Ältere Patienten zeigten höhere Häufigkeit von SNVs in PIK3CA (44%), TP53 (33%), CDH1 (22%). Nach Adjustierung war hohes Alter assoziiert mit mehr PIK3CA-SNVs (OR 1,21; 95%-KI 1,11–1,31; q&lt;0,001), CDH1-SNVs (OR 1,43; 95%-KI 1,21–1,68) und 26% mit ≥10 Mutationen/Mb (vs. 17% bei Jüngsten). Diese Unterschiede waren unabhängig von Tumorsubtyp.</w:t>
      </w:r>
    </w:p>
    <w:p>
      <w:r>
        <w:rPr>
          <w:b/>
          <w:sz w:val="19"/>
        </w:rPr>
        <w:t xml:space="preserve">Übertragbarkeit: </w:t>
      </w:r>
      <w:r>
        <w:rPr>
          <w:sz w:val="19"/>
        </w:rPr>
        <w:t>USA-Klinik: Vergleichbare Versicherungssysteme bei Umsetzung, genomische Testung in Deutschland ebenfalls Standard</w:t>
      </w:r>
    </w:p>
    <w:p>
      <w:r>
        <w:rPr>
          <w:color w:val="5A7D3A"/>
          <w:sz w:val="18"/>
        </w:rPr>
        <w:t>https://pubmed.ncbi.nlm.nih.gov/42735455/</w:t>
      </w:r>
    </w:p>
    <w:p>
      <w:pPr>
        <w:pStyle w:val="Heading2"/>
      </w:pPr>
      <w:r>
        <w:t>Immuntyp-Transition vorhersagt Checkpoint-Inhibitor-Anspruch besser als Ausgangszustand</w:t>
      </w:r>
    </w:p>
    <w:p>
      <w:r>
        <w:rPr>
          <w:i/>
          <w:color w:val="666666"/>
          <w:sz w:val="18"/>
        </w:rPr>
        <w:t>Lin Z et al.  ·  Cancer Cell  ·  14.09.2026  ·  PMID 42679812</w:t>
      </w:r>
    </w:p>
    <w:p>
      <w:r>
        <w:t>Longitudinale Single-Cell-RNA-Sequenzierung von 441 Proben aus 241 Patienten mit zehn Krebsentitäten untersuchte die Umgestaltung der Tumor-Immunmikroumgebung (TIME) unter Checkpoint-Inhibitor-Therapie und entwickelte eine prädiktive Signatur.</w:t>
      </w:r>
    </w:p>
    <w:p>
      <w:r>
        <w:rPr>
          <w:b/>
        </w:rPr>
        <w:t xml:space="preserve">Ergebnis: </w:t>
      </w:r>
      <w:r>
        <w:t>~40% der Tumore wechselten während Therapie zwischen TIME-Subtypen. Der Übergang (nicht der Ausgangszustand) war prognostischer: Günstige Übergänge zu entzündetem oder B-Zell-angereichertem Subtyp korrelierten mit verbessertem Ansprechen und Überleben. Eine 59-Gen-Signatur sagte Ansprechen und Überleben in 1.383 Baseline-Tumoren über 19 unabhängige Kohorten vorher (HR 2,15; KI-range über Publikationen relevant).</w:t>
      </w:r>
    </w:p>
    <w:p>
      <w:r>
        <w:rPr>
          <w:b/>
          <w:sz w:val="19"/>
        </w:rPr>
        <w:t xml:space="preserve">Übertragbarkeit: </w:t>
      </w:r>
      <w:r>
        <w:rPr>
          <w:sz w:val="19"/>
        </w:rPr>
        <w:t>International/Multi-Entity: Prinzipien auf deutsche Zentren mit Liquid Biopsy/Tumorboard anwendbar</w:t>
      </w:r>
    </w:p>
    <w:p>
      <w:r>
        <w:rPr>
          <w:color w:val="5A7D3A"/>
          <w:sz w:val="18"/>
        </w:rPr>
        <w:t>https://pubmed.ncbi.nlm.nih.gov/42679812/</w:t>
      </w:r>
    </w:p>
    <w:p>
      <w:pPr>
        <w:pStyle w:val="Heading1"/>
      </w:pPr>
      <w:r>
        <w:t>Aufgenommen am 15.09.2026</w:t>
      </w:r>
    </w:p>
    <w:p>
      <w:pPr>
        <w:pStyle w:val="Heading2"/>
      </w:pPr>
      <w:r>
        <w:t>HDR-Brachytherapie nach Strahlentherapie bei älteren Rektumkarzinom-Patienten: lokale Kontrolle bei 80 %</w:t>
      </w:r>
    </w:p>
    <w:p>
      <w:r>
        <w:rPr>
          <w:i/>
          <w:color w:val="666666"/>
          <w:sz w:val="18"/>
        </w:rPr>
        <w:t>Kristen A et al.  ·  Strahlenther Onkol  ·  14.09.2026  ·  PMID 42734824</w:t>
      </w:r>
    </w:p>
    <w:p>
      <w:r>
        <w:t>15 ältere/infirme Patienten mit Rektumkarzinom erhielten kombiniert externe Strahlentherapie (30-39 Gy/10-13 Fraktionen) und endorektale Hochdosis-Brachytherapie (12-24 Gy/2-3 Fraktionen); eine organerhaltende Methode für Operationsunfähige.</w:t>
      </w:r>
    </w:p>
    <w:p>
      <w:r>
        <w:rPr>
          <w:b/>
        </w:rPr>
        <w:t xml:space="preserve">Ergebnis: </w:t>
      </w:r>
      <w:r>
        <w:t>Nach 21 Monaten Median-Follow-up erreichten 12 von 15 Patienten (80 %) klinische komplette (n=6) oder nahezu komplette Remission (n=6); 4 Patienten (33 %) entwickelten später lokales Rezidiv, 4 (27 %) Fernmetastasen. Grad-3-Toxizität: 67 % Proktitis, 20 % schwere Rektalblutung (3 Patienten). Sicherheits- und Dosisoptimierungsfragen bleiben, besonders bei Antikoagulation.</w:t>
      </w:r>
    </w:p>
    <w:p>
      <w:r>
        <w:rPr>
          <w:b/>
          <w:sz w:val="19"/>
        </w:rPr>
        <w:t xml:space="preserve">Übertragbarkeit: </w:t>
      </w:r>
      <w:r>
        <w:rPr>
          <w:sz w:val="19"/>
        </w:rPr>
        <w:t>Deutschland, einzelzentrisch; Ansatz für zertifizierte Zentren mit Brachytherapie-Expertise geeignet</w:t>
      </w:r>
    </w:p>
    <w:p>
      <w:r>
        <w:rPr>
          <w:color w:val="5A7D3A"/>
          <w:sz w:val="18"/>
        </w:rPr>
        <w:t>https://pubmed.ncbi.nlm.nih.gov/42734824/</w:t>
      </w:r>
    </w:p>
    <w:p>
      <w:pPr>
        <w:pStyle w:val="Heading2"/>
      </w:pPr>
      <w:r>
        <w:t>Tambotatug Pelitecan (B7-H3-ADC) bei kleinzelligem Lungenkarzinom nach Platin: OS-Vorteil gegenüber Topotekan</w:t>
      </w:r>
    </w:p>
    <w:p>
      <w:r>
        <w:rPr>
          <w:i/>
          <w:color w:val="666666"/>
          <w:sz w:val="18"/>
        </w:rPr>
        <w:t>Zhao Y et al.  ·  N Engl J Med  ·  12.09.2026  ·  PMID 42734213</w:t>
      </w:r>
    </w:p>
    <w:p>
      <w:r>
        <w:t>Phase-III-TAISHAN-302, China: 451 Patienten mit rezidivierendem SCLC nach Platin-basierter Erstlinien-Therapie, randomisiert 1:1 zu Tambotatug Pelitecan (neuer B7-H3-zielgerichteter Antikörper-Wirkstoff-Konjugat) versus Topotekan; Interim-Analyse.</w:t>
      </w:r>
    </w:p>
    <w:p>
      <w:r>
        <w:rPr>
          <w:b/>
        </w:rPr>
        <w:t xml:space="preserve">Ergebnis: </w:t>
      </w:r>
      <w:r>
        <w:t>Median-OS: 13,3 Monate (Tam-Peli) vs. 9,4 Monate (Topotekan), HR 0,46 (95% KI 0,35–0,62, p&lt;0,001). Median-PFS: 7,4 vs. 2,8 Monate, HR 0,29 (p&lt;0,001). ORR: 59,1% vs. 9,7% (p&lt;0,001). Grad-≥3-AE: 55,4% vs. 77,9% (Tam-Peli günstiger). Diese Ergebnisse könnten neuen Standard für rezidiviertes SCLC begründen.</w:t>
      </w:r>
    </w:p>
    <w:p>
      <w:r>
        <w:rPr>
          <w:b/>
          <w:sz w:val="19"/>
        </w:rPr>
        <w:t xml:space="preserve">Übertragbarkeit: </w:t>
      </w:r>
      <w:r>
        <w:rPr>
          <w:sz w:val="19"/>
        </w:rPr>
        <w:t>China-Studie, globales Design; Zulassungsantrag ausstehend, deutsche Verfügbarkeit unklar – USA nur mit Vorbehalt übertragbar</w:t>
      </w:r>
    </w:p>
    <w:p>
      <w:r>
        <w:rPr>
          <w:color w:val="5A7D3A"/>
          <w:sz w:val="18"/>
        </w:rPr>
        <w:t>https://pubmed.ncbi.nlm.nih.gov/42734213/</w:t>
      </w:r>
    </w:p>
    <w:p>
      <w:pPr>
        <w:pStyle w:val="Heading2"/>
      </w:pPr>
      <w:r>
        <w:t>Tumoren unterdrücken T-Zell-Immunität durch Antioxidanzien – PRDX1 als therapeutisches Target</w:t>
      </w:r>
    </w:p>
    <w:p>
      <w:r>
        <w:rPr>
          <w:i/>
          <w:color w:val="666666"/>
          <w:sz w:val="18"/>
        </w:rPr>
        <w:t>Wesolowski AJ et al.  ·  Science  ·  03.09.2026  ·  PMID 42691162</w:t>
      </w:r>
    </w:p>
    <w:p>
      <w:r>
        <w:t>Grundlagenwerk zur Immunsuppression durch tumorales Peroxiredoxin-1 (PRDX1): Forschung zeigt, dass Tumoren Antioxidanzien in ihre Umgebung freisetzen und T-Zellen damit ihrer reaktiven Sauerstoffspezies berauben, was deren Signalübertragung blockiert.</w:t>
      </w:r>
    </w:p>
    <w:p>
      <w:r>
        <w:rPr>
          <w:b/>
        </w:rPr>
        <w:t xml:space="preserve">Ergebnis: </w:t>
      </w:r>
      <w:r>
        <w:t>PRDX1-Mangel in Tumoren verstärkte Antitumor-Immunität und verbesserte Immuntherapie-Antworten in Mausmodellen; Liquid Biopsy könnte PRDX1-Spiegel messen. Der Befund eröffnet neuen therapeutischen Ansatz: PRDX1-Inhibition könnte Immuntherapie-Resistenz überwinden.</w:t>
      </w:r>
    </w:p>
    <w:p>
      <w:r>
        <w:rPr>
          <w:b/>
          <w:sz w:val="19"/>
        </w:rPr>
        <w:t xml:space="preserve">Übertragbarkeit: </w:t>
      </w:r>
      <w:r>
        <w:rPr>
          <w:sz w:val="19"/>
        </w:rPr>
        <w:t>Präklinisch; klinischer Weg unklar, aber identifiziertes Targetprotein (PRDX1) ist actionable für Therapeutika-Entwicklung</w:t>
      </w:r>
    </w:p>
    <w:p>
      <w:r>
        <w:rPr>
          <w:color w:val="5A7D3A"/>
          <w:sz w:val="18"/>
        </w:rPr>
        <w:t>https://pubmed.ncbi.nlm.nih.gov/42691162/</w:t>
      </w:r>
    </w:p>
    <w:p>
      <w:pPr>
        <w:pStyle w:val="Heading2"/>
      </w:pPr>
      <w:r>
        <w:t>Real-World-Evidence zur Zulassung von Krebsmedikamenten: 18 Anträge mit Single-Arm-Trials und RWE, 2022–2025</w:t>
      </w:r>
    </w:p>
    <w:p>
      <w:r>
        <w:rPr>
          <w:i/>
          <w:color w:val="666666"/>
          <w:sz w:val="18"/>
        </w:rPr>
        <w:t>Su L et al.  ·  Oncologist  ·  06.08.2026  ·  PMID 42664160</w:t>
      </w:r>
    </w:p>
    <w:p>
      <w:r>
        <w:t>Analyse von 200 Onkologie-Zulassungen (FDA 134, EMA 66) 2022–2025: 18 Anträge (7 FDA, 11 EMA) kombiniert Single-Arm-Trials mit Real-World-Evidence; meist für Hämatologika (53 %), Hälfte auf elektronischen Krankenhauspflichten basiert.</w:t>
      </w:r>
    </w:p>
    <w:p>
      <w:r>
        <w:rPr>
          <w:b/>
        </w:rPr>
        <w:t xml:space="preserve">Ergebnis: </w:t>
      </w:r>
      <w:r>
        <w:t>RWE diente in 2 Fällen als "substantive evidence", ansonsten als kontextuell/supportiv. Häufige Mängel: kleine Fallzahlen, Population-Heterogenität, fehlende Kovariaten, non-kontempore Vergleiche, Post-hoc-Design. Regulatoren bestätigen methodologische Grenzen; Harmonisierung regulatorischer Guidance ist notwendig.</w:t>
      </w:r>
    </w:p>
    <w:p>
      <w:r>
        <w:rPr>
          <w:b/>
          <w:sz w:val="19"/>
        </w:rPr>
        <w:t xml:space="preserve">Übertragbarkeit: </w:t>
      </w:r>
      <w:r>
        <w:rPr>
          <w:sz w:val="19"/>
        </w:rPr>
        <w:t>USA-Zulassungssystem und EMA; Übertrag auf deutsches AMNOG-Verfahren begrenzt – AMNOG verlangt höhere RCT-Standard</w:t>
      </w:r>
    </w:p>
    <w:p>
      <w:r>
        <w:rPr>
          <w:color w:val="5A7D3A"/>
          <w:sz w:val="18"/>
        </w:rPr>
        <w:t>https://pubmed.ncbi.nlm.nih.gov/42664160/</w:t>
      </w:r>
    </w:p>
    <w:p>
      <w:pPr>
        <w:pStyle w:val="Heading2"/>
      </w:pPr>
      <w:r>
        <w:t>Dosiseskalation (80 Gy) bei Hochrisiko-Prostatakarzinom erhöht 10-Jahres-PFS deutlich</w:t>
      </w:r>
    </w:p>
    <w:p>
      <w:r>
        <w:rPr>
          <w:i/>
          <w:color w:val="666666"/>
          <w:sz w:val="18"/>
        </w:rPr>
        <w:t>Hennequin C et al.  ·  Lancet Oncol  ·  Sept. 2026  ·  PMID 42636837</w:t>
      </w:r>
    </w:p>
    <w:p>
      <w:r>
        <w:t>Französische Phase-III-Studie (GETUG-AFU-18) mit 505 Patienten mit hochrisiko Prostatakarzinom: Vergleich externe Strahlentherapie 80 Gy versus 70 Gy, kombiniert mit Langzeit-Androgenentzug, über 9,5 Jahre Median-Follow-up.</w:t>
      </w:r>
    </w:p>
    <w:p>
      <w:r>
        <w:rPr>
          <w:b/>
        </w:rPr>
        <w:t xml:space="preserve">Ergebnis: </w:t>
      </w:r>
      <w:r>
        <w:t>10-Jahres-PFS: 83,6 % (80-Gy-Arm) vs. 72,2 % (70-Gy-Arm), Hazard Ratio 0,56 (95% KI 0,40–0,78, p&lt;0,0001). 5-Jahres-PFS: 91,4 % vs. 88,1 %. Grad-3-Toxizität akut 24–25 %, spät 7–8 % in beiden Gruppen. Sexuelle und urogenitale Nebenwirkungen waren frequent, aber nicht unterschiedlich.</w:t>
      </w:r>
    </w:p>
    <w:p>
      <w:r>
        <w:rPr>
          <w:b/>
          <w:sz w:val="19"/>
        </w:rPr>
        <w:t xml:space="preserve">Übertragbarkeit: </w:t>
      </w:r>
      <w:r>
        <w:rPr>
          <w:sz w:val="19"/>
        </w:rPr>
        <w:t>Frankreich, vergleichbare Versicherungsstruktur; deutsche S3-Leitlinien zu Hochrisiko-Prostata-Strahlentherapie sollten Dosiseskalation prüfen</w:t>
      </w:r>
    </w:p>
    <w:p>
      <w:r>
        <w:rPr>
          <w:color w:val="5A7D3A"/>
          <w:sz w:val="18"/>
        </w:rPr>
        <w:t>https://pubmed.ncbi.nlm.nih.gov/42636837/</w:t>
      </w:r>
    </w:p>
    <w:p>
      <w:pPr>
        <w:pStyle w:val="Heading2"/>
      </w:pPr>
      <w:r>
        <w:t>Adjuvant Alectinib (600 mg b.i.d. × 24 Monate) bei ALK-positivem NSCLC nach Resektion: verträglicher, Lebensqualität erhalten</w:t>
      </w:r>
    </w:p>
    <w:p>
      <w:r>
        <w:rPr>
          <w:i/>
          <w:color w:val="666666"/>
          <w:sz w:val="18"/>
        </w:rPr>
        <w:t>Dziadziuszko R et al.  ·  Lancet Oncol  ·  Sept. 2026  ·  PMID 42636834</w:t>
      </w:r>
    </w:p>
    <w:p>
      <w:r>
        <w:t>Phase-III-ALINA-Studie, 257 Patienten mit reseziertem ALK+NSCLC (Stadium IB–IIIA): Vergleich Adjuvant-Alectinib versus Platinum-basierte Chemotherapie; Nebenwirkungen und Lebensqualität (SF-36v2) werden berichtet; Disease-Free-Survival bereits publiziert.</w:t>
      </w:r>
    </w:p>
    <w:p>
      <w:r>
        <w:rPr>
          <w:b/>
        </w:rPr>
        <w:t xml:space="preserve">Ergebnis: </w:t>
      </w:r>
      <w:r>
        <w:t>Schwergrad 3–4-AE mit Alectinib: 6% (CPK-Anstieg), vs. Chemotherapie 10% (Neutropenie). Therapie-Abbrüche: 5% vs. 13% (signifikant weniger mit Alectinib). SF-36v2-Domänen (Körperschmerz, Rollenfunktion, psychische Gesundheit, soziale Funktion, Vitalität) zeigten klinisch bedeutsame Verbesserung ab Woche 12; Scores blieben über 2 Jahre stabil bei Populationsnorm (50).</w:t>
      </w:r>
    </w:p>
    <w:p>
      <w:r>
        <w:rPr>
          <w:b/>
          <w:sz w:val="19"/>
        </w:rPr>
        <w:t xml:space="preserve">Übertragbarkeit: </w:t>
      </w:r>
      <w:r>
        <w:rPr>
          <w:sz w:val="19"/>
        </w:rPr>
        <w:t>International; Alectinib bereits in Deutschland zugelassen, Verträglichkeitsdaten unterstützen adjuvante Standardisierung</w:t>
      </w:r>
    </w:p>
    <w:p>
      <w:r>
        <w:rPr>
          <w:color w:val="5A7D3A"/>
          <w:sz w:val="18"/>
        </w:rPr>
        <w:t>https://pubmed.ncbi.nlm.nih.gov/42636834/</w:t>
      </w:r>
    </w:p>
    <w:p>
      <w:pPr>
        <w:pStyle w:val="Heading2"/>
      </w:pPr>
      <w:r>
        <w:t>Durvalumab+Tremelimumab+Lenvatinib+TACE versus TACE allein bei Hepatozellulärem Karzinom: PFS-Vorteil</w:t>
      </w:r>
    </w:p>
    <w:p>
      <w:r>
        <w:rPr>
          <w:i/>
          <w:color w:val="666666"/>
          <w:sz w:val="18"/>
        </w:rPr>
        <w:t>Kudo M et al.  ·  Lancet Oncol  ·  Sept. 2026  ·  PMID 42636832</w:t>
      </w:r>
    </w:p>
    <w:p>
      <w:r>
        <w:t>Phase-III-Studie EMERALD-3 mit 760 Patienten (embolisierbar, Child-Pugh A): Vergleich STRIDE (Durvalumab+Tremelimumab) mit oder ohne Lenvatinib, kombiniert mit transarterieller Chemoembolisation (TACE), versus TACE allein.</w:t>
      </w:r>
    </w:p>
    <w:p>
      <w:r>
        <w:rPr>
          <w:b/>
        </w:rPr>
        <w:t xml:space="preserve">Ergebnis: </w:t>
      </w:r>
      <w:r>
        <w:t>Median-PFS (STRIDE+Lenvatinib vs. TACE): 13,0 vs. 9,8 Monate, HR 0,70 (95% KI 0,57–0,86, p=0,0007). Median-OS: 39,5 vs. 34,7 Monate, HR 0,84 (p=0,18, nicht signifikant). Grad-3/4-AE: Hypertonie 12% (STRIDE+Lenvatinib), post-embolization-Syndrom 6% (STRIDE+TACE). 7 Treatment-Related Deaths (2%). STRIDE-Regimen als neuer Standard empfohlen.</w:t>
      </w:r>
    </w:p>
    <w:p>
      <w:r>
        <w:rPr>
          <w:b/>
          <w:sz w:val="19"/>
        </w:rPr>
        <w:t xml:space="preserve">Übertragbarkeit: </w:t>
      </w:r>
      <w:r>
        <w:rPr>
          <w:sz w:val="19"/>
        </w:rPr>
        <w:t>Global, inklusive europäischer Zentren; Zulassung in Genehmigungsverfahren, AMNOG-Bewertung ausstehend</w:t>
      </w:r>
    </w:p>
    <w:p>
      <w:r>
        <w:rPr>
          <w:color w:val="5A7D3A"/>
          <w:sz w:val="18"/>
        </w:rPr>
        <w:t>https://pubmed.ncbi.nlm.nih.gov/42636832/</w:t>
      </w:r>
    </w:p>
    <w:p>
      <w:pPr>
        <w:pStyle w:val="Heading1"/>
      </w:pPr>
      <w:r>
        <w:t>Aufgenommen am 14.09.2026</w:t>
      </w:r>
    </w:p>
    <w:p>
      <w:pPr>
        <w:pStyle w:val="Heading2"/>
      </w:pPr>
      <w:r>
        <w:t>Teclistamab in smolderendem Myelom hocheffektiv: Phase-2-Trial</w:t>
      </w:r>
    </w:p>
    <w:p>
      <w:r>
        <w:rPr>
          <w:i/>
          <w:color w:val="666666"/>
          <w:sz w:val="18"/>
        </w:rPr>
        <w:t>Nadeem O et al.  ·  Nat Med  ·  11.09.2026  ·  PMID 42728379</w:t>
      </w:r>
    </w:p>
    <w:p>
      <w:r>
        <w:t>Randomisierte Phase-2-ImmunoPRISM-Studie verglich Teclistamab (BCMA-Bispecific Antibody, Fixdauer) mit Lenalidomid/Dexamethason bei 59 Patienten mit Hochrisiko-smolderendem multiplem Myelom.</w:t>
      </w:r>
    </w:p>
    <w:p>
      <w:r>
        <w:rPr>
          <w:b/>
        </w:rPr>
        <w:t xml:space="preserve">Ergebnis: </w:t>
      </w:r>
      <w:r>
        <w:t>Teclistamab: komplette Remission 77,8% vs. 0% (Rd); minimale Resterkrankung-Negativität (10-5) 82,2%; 2-Jahres-Progressionsfreies Überleben 92% vs. 49%; Grad 1–2 Zytokine-Freisetzung, kein Grade-3-Infektionsanstieg, keine Todesfälle.</w:t>
      </w:r>
    </w:p>
    <w:p>
      <w:r>
        <w:rPr>
          <w:b/>
          <w:sz w:val="19"/>
        </w:rPr>
        <w:t xml:space="preserve">Übertragbarkeit: </w:t>
      </w:r>
      <w:r>
        <w:rPr>
          <w:sz w:val="19"/>
        </w:rPr>
        <w:t>Phasen-2-Studie mit Potential für Frühintervention; internationale Prüfung, Übertragbarkeit begrenzt bis zur Phase-3-Validierung.</w:t>
      </w:r>
    </w:p>
    <w:p>
      <w:r>
        <w:rPr>
          <w:color w:val="5A7D3A"/>
          <w:sz w:val="18"/>
        </w:rPr>
        <w:t>https://pubmed.ncbi.nlm.nih.gov/42728379/</w:t>
      </w:r>
    </w:p>
    <w:p>
      <w:pPr>
        <w:pStyle w:val="Heading2"/>
      </w:pPr>
      <w:r>
        <w:t>HCC-Management in Asien nach europäischen Leitlinien adaptiert</w:t>
      </w:r>
    </w:p>
    <w:p>
      <w:r>
        <w:rPr>
          <w:i/>
          <w:color w:val="666666"/>
          <w:sz w:val="18"/>
        </w:rPr>
        <w:t>Tan CK et al.  ·  ESMO Open  ·  09.07.2026  ·  PMID 42660571</w:t>
      </w:r>
    </w:p>
    <w:p>
      <w:r>
        <w:t>Pan-asiatische Expertengruppe adaptierte ESMO-Leitlinien zu Diagnose, Therapie und Nachsorge des Hepatozellulären Karzinoms für zehn asiatische Länder.</w:t>
      </w:r>
    </w:p>
    <w:p>
      <w:r>
        <w:rPr>
          <w:b/>
        </w:rPr>
        <w:t xml:space="preserve">Ergebnis: </w:t>
      </w:r>
      <w:r>
        <w:t>Konsens-Richtlinie mit regionsspezifischen Empfehlungen verabschiedet; Fokus auf harmonisierte Behandlung und Zugang trotz regionaler Unterschiede in Arzneimittelzulassung und Erstattung.</w:t>
      </w:r>
    </w:p>
    <w:p>
      <w:r>
        <w:rPr>
          <w:b/>
          <w:sz w:val="19"/>
        </w:rPr>
        <w:t xml:space="preserve">Übertragbarkeit: </w:t>
      </w:r>
      <w:r>
        <w:rPr>
          <w:sz w:val="19"/>
        </w:rPr>
        <w:t>Internationale Leitlinie mit europäischen Standards, aber auch asiatischen Besonderheiten; teilweise auf deutsches System übertragbar.</w:t>
      </w:r>
    </w:p>
    <w:p>
      <w:r>
        <w:rPr>
          <w:color w:val="5A7D3A"/>
          <w:sz w:val="18"/>
        </w:rPr>
        <w:t>https://pubmed.ncbi.nlm.nih.gov/42660571/</w:t>
      </w:r>
    </w:p>
    <w:p>
      <w:pPr>
        <w:pStyle w:val="Heading2"/>
      </w:pPr>
      <w:r>
        <w:t>Epigenetisches Altern in Dickdarmgewebe zeigt Lebensstilfaktoren-Einfluss</w:t>
      </w:r>
    </w:p>
    <w:p>
      <w:r>
        <w:rPr>
          <w:i/>
          <w:color w:val="666666"/>
          <w:sz w:val="18"/>
        </w:rPr>
        <w:t>Hardikar S et al.  ·  J Natl Cancer Inst  ·  25.08.2026  ·  PMID 42640567</w:t>
      </w:r>
    </w:p>
    <w:p>
      <w:r>
        <w:t>Analyse von epigenetischen Alterungsmodellen (Horvath, Hannum, Zhang u.a.) in Kolonialgewebe von 554 Proben (96 normal, 245 angrenzend, 208 Tumore) zur Untersuchung von Zusammenhängen mit Lebensstilfaktoren und Krebsentwicklung.</w:t>
      </w:r>
    </w:p>
    <w:p>
      <w:r>
        <w:rPr>
          <w:b/>
        </w:rPr>
        <w:t xml:space="preserve">Ergebnis: </w:t>
      </w:r>
      <w:r>
        <w:t>Horvath-Modell zeigte beste Korrelation mit chronologischem Alter (r &gt;0,70) in normalem Gewebe; signifikante Alters-Beschleunigung in tumoren vs. normal/angrenzend bei allen Modellen; körperliche Aktivität (PhenoAge), Rauchen (GrimAge) und Alkoholkonsum (Horvath, Mitose-Uhren) assoziiert mit epigenetischem Altern in angrenzender Mukosa.</w:t>
      </w:r>
    </w:p>
    <w:p>
      <w:r>
        <w:rPr>
          <w:b/>
          <w:sz w:val="19"/>
        </w:rPr>
        <w:t xml:space="preserve">Übertragbarkeit: </w:t>
      </w:r>
      <w:r>
        <w:rPr>
          <w:sz w:val="19"/>
        </w:rPr>
        <w:t>USA/deutsche Zentren, diverse Populationen; Grundlagenforschung zu Risikostratifikation.</w:t>
      </w:r>
    </w:p>
    <w:p>
      <w:r>
        <w:rPr>
          <w:color w:val="5A7D3A"/>
          <w:sz w:val="18"/>
        </w:rPr>
        <w:t>https://pubmed.ncbi.nlm.nih.gov/42640567/</w:t>
      </w:r>
    </w:p>
    <w:p>
      <w:pPr>
        <w:pStyle w:val="Heading2"/>
      </w:pPr>
      <w:r>
        <w:t>Tebentafusp gegen Uveales Melanom im UK-Programm wirksam wie Phase-3-Daten</w:t>
      </w:r>
    </w:p>
    <w:p>
      <w:r>
        <w:rPr>
          <w:i/>
          <w:color w:val="666666"/>
          <w:sz w:val="18"/>
        </w:rPr>
        <w:t>Joseph M et al.  ·  Oncologist  ·  09.09.2026  ·  PMID 42640561</w:t>
      </w:r>
    </w:p>
    <w:p>
      <w:r>
        <w:t>Retrospektive Real-World-Effektivitäts- und Toxizitäts-Analyse der UK Expanded Access Programme (EAP) mit 88 Patienten mit metastasiertem uvealen Melanom, behandelt Juli 2021–Juni 2023.</w:t>
      </w:r>
    </w:p>
    <w:p>
      <w:r>
        <w:rPr>
          <w:b/>
        </w:rPr>
        <w:t xml:space="preserve">Ergebnis: </w:t>
      </w:r>
      <w:r>
        <w:t>Medianes Gesamtüberleben 21 Monate (95%-KI 17-NR); medianes progressionsfreies Überleben 2,76 Monate (95%-KI 2,53–3,22); 12-Monats-Überlebenrate 75% (95%-KI 66,1–85,6); niedrigere LDH und niedrigere Leberlastung tendierten zu besserem Überleben; LDH ≥2× obere Normgrenze zeigte sehr schlechte Prognose; keine Grade ≥3 Toxizität nach Dosis 5.</w:t>
      </w:r>
    </w:p>
    <w:p>
      <w:r>
        <w:rPr>
          <w:b/>
          <w:sz w:val="19"/>
        </w:rPr>
        <w:t xml:space="preserve">Übertragbarkeit: </w:t>
      </w:r>
      <w:r>
        <w:rPr>
          <w:sz w:val="19"/>
        </w:rPr>
        <w:t>Britisches NHS-System, vergleichbar mit deutschem, Real-World-Evidenz für Kostenträger relevant.</w:t>
      </w:r>
    </w:p>
    <w:p>
      <w:r>
        <w:rPr>
          <w:color w:val="5A7D3A"/>
          <w:sz w:val="18"/>
        </w:rPr>
        <w:t>https://pubmed.ncbi.nlm.nih.gov/42640561/</w:t>
      </w:r>
    </w:p>
    <w:p>
      <w:pPr>
        <w:pStyle w:val="Heading2"/>
      </w:pPr>
      <w:r>
        <w:t>Daratumumab+Lenalidomid verlängert Überleben im älteren Myelom dauerhaft</w:t>
      </w:r>
    </w:p>
    <w:p>
      <w:r>
        <w:rPr>
          <w:i/>
          <w:color w:val="666666"/>
          <w:sz w:val="18"/>
        </w:rPr>
        <w:t>Facon T et al.  ·  Leukemia  ·  24.08.2026  ·  PMID 42637879</w:t>
      </w:r>
    </w:p>
    <w:p>
      <w:r>
        <w:t>Finale Analyse der MAIA-Studie: Randomisierte Phase-III-Prüfung zu Daratumumab+Lenalidomid/Dexamethason (D-Rd) vs. Lenalidomid/Dexamethason (Rd) bei 737 nicht-transplant-fähigen Patienten mit neu diagnostiziertem multiplem Myelom.</w:t>
      </w:r>
    </w:p>
    <w:p>
      <w:r>
        <w:rPr>
          <w:b/>
        </w:rPr>
        <w:t xml:space="preserve">Ergebnis: </w:t>
      </w:r>
      <w:r>
        <w:t>Medianes Gesamtüberleben: 90,3 Monate (D-Rd) vs. 64,1 Monate (Rd), HR 0,67 (95%-KI 0,55–0,82); 7-Jahres-Überleben 53,1% vs. 39,3%; mediane Zeit bis Folgetherapie nicht erreicht vs. 42,4 Monate. Follow-up &gt;7 Jahre.</w:t>
      </w:r>
    </w:p>
    <w:p>
      <w:r>
        <w:rPr>
          <w:b/>
          <w:sz w:val="19"/>
        </w:rPr>
        <w:t xml:space="preserve">Übertragbarkeit: </w:t>
      </w:r>
      <w:r>
        <w:rPr>
          <w:sz w:val="19"/>
        </w:rPr>
        <w:t>Multinationale Studie; Basis für Leitlinienstandard bei älteren Patienten, in Deutschland anwendbar.</w:t>
      </w:r>
    </w:p>
    <w:p>
      <w:r>
        <w:rPr>
          <w:color w:val="5A7D3A"/>
          <w:sz w:val="18"/>
        </w:rPr>
        <w:t>https://pubmed.ncbi.nlm.nih.gov/42637879/</w:t>
      </w:r>
    </w:p>
    <w:p>
      <w:pPr>
        <w:pStyle w:val="Heading2"/>
      </w:pPr>
      <w:r>
        <w:t>Olaparib-Erhaltung bei BRCA-mutiertem Brustkrebs: 6-Jahres-Vorteile halten an</w:t>
      </w:r>
    </w:p>
    <w:p>
      <w:r>
        <w:rPr>
          <w:i/>
          <w:color w:val="666666"/>
          <w:sz w:val="18"/>
        </w:rPr>
        <w:t>Garber JE et al.  ·  Ann Oncol  ·  24.08.2026  ·  PMID 42636977</w:t>
      </w:r>
    </w:p>
    <w:p>
      <w:r>
        <w:t>Dritte geplante Zwischenanalyse der randomisierten Phase-III-OlympiA-Studie zu adjuvantem Olaparib (PARP-Inhibitor) versus Placebo nach Chemotherapie bei 1.836 Patientinnen mit Keimbahn-BRCA-Mutation und HER2-negativem Hochrisiko-Brustkrebs.</w:t>
      </w:r>
    </w:p>
    <w:p>
      <w:r>
        <w:rPr>
          <w:b/>
        </w:rPr>
        <w:t xml:space="preserve">Ergebnis: </w:t>
      </w:r>
      <w:r>
        <w:t>Bei 6,1 Jahren medianer Nachbeobachtung: Invasives rezidivfreies Überleben (HR 0,65; 95%-KI 0,53–0,78), Gesamtüberleben (HR 0,72; 95%-KI 0,56–0,93); 6-Jahres-Überleben 87,5% vs. 83,2%; keine neuen Sicherheitssignale, kein erhöhtes MDS/AML-Risiko (0,4% vs. 0,7%).</w:t>
      </w:r>
    </w:p>
    <w:p>
      <w:r>
        <w:rPr>
          <w:b/>
          <w:sz w:val="19"/>
        </w:rPr>
        <w:t xml:space="preserve">Übertragbarkeit: </w:t>
      </w:r>
      <w:r>
        <w:rPr>
          <w:sz w:val="19"/>
        </w:rPr>
        <w:t>Multinationale Studie mit europäischen und deutschen Zentren; Befund ändert Leitlinienempfehlungen.</w:t>
      </w:r>
    </w:p>
    <w:p>
      <w:r>
        <w:rPr>
          <w:color w:val="5A7D3A"/>
          <w:sz w:val="18"/>
        </w:rPr>
        <w:t>https://pubmed.ncbi.nlm.nih.gov/42636977/</w:t>
      </w:r>
    </w:p>
    <w:p>
      <w:pPr>
        <w:pStyle w:val="Heading1"/>
      </w:pPr>
      <w:r>
        <w:t>Aufgenommen am 13.09.2026</w:t>
      </w:r>
    </w:p>
    <w:p>
      <w:pPr>
        <w:pStyle w:val="Heading2"/>
      </w:pPr>
      <w:r>
        <w:t>Genomische Alterationen in Hirn-Metastasen von Brustkrebs: 76,8 % haben therapeutisch nutzbare Targets</w:t>
      </w:r>
    </w:p>
    <w:p>
      <w:r>
        <w:rPr>
          <w:i/>
          <w:color w:val="666666"/>
          <w:sz w:val="18"/>
        </w:rPr>
        <w:t>Griguolo G et al.  ·  ESMO Open  ·  11.09.2026  ·  PMID 42727421</w:t>
      </w:r>
    </w:p>
    <w:p>
      <w:r>
        <w:t>Whole-exome-Sequenzierung von 56 Hirn-Metastasen-Proben aus Brustkrebs-Patienten zur Identifikation klinisch umsetzbarer genomischer Alterationen nach ESCAT-Kriterien.</w:t>
      </w:r>
    </w:p>
    <w:p>
      <w:r>
        <w:rPr>
          <w:b/>
        </w:rPr>
        <w:t xml:space="preserve">Ergebnis: </w:t>
      </w:r>
      <w:r>
        <w:t>76,8 % zeigten ESCAT-I/II-Alterationen; häufigste waren DNA-Reparatur-Gene (BRCA1/2/PALB2: 53,6 %); biallele Inaktivierung bei 19,6 % (höher bei HER2-negativ: 26 % HR-neg/HER2-neg, 21 % HR-pos/HER2-neg); PIK3CA/AKT1/PTEN-Alterationen in 48,2 %; kein ESR1 in HR-positiven; hotspot PIK3CA bei HER2-positivem assoziiert mit schlechterer Prognose.</w:t>
      </w:r>
    </w:p>
    <w:p>
      <w:r>
        <w:rPr>
          <w:b/>
          <w:sz w:val="19"/>
        </w:rPr>
        <w:t xml:space="preserve">Übertragbarkeit: </w:t>
      </w:r>
      <w:r>
        <w:rPr>
          <w:sz w:val="19"/>
        </w:rPr>
        <w:t>Italienisch-französische Kooperation, ESCAT-Klassifikation europäisch – direkt auf deutsches Targeting-System übertragbar.</w:t>
      </w:r>
    </w:p>
    <w:p>
      <w:r>
        <w:rPr>
          <w:color w:val="5A7D3A"/>
          <w:sz w:val="18"/>
        </w:rPr>
        <w:t>https://pubmed.ncbi.nlm.nih.gov/42727421/</w:t>
      </w:r>
    </w:p>
    <w:p>
      <w:pPr>
        <w:pStyle w:val="Heading2"/>
      </w:pPr>
      <w:r>
        <w:t>Hautkrebs-Bestrahlungen um 79% gestiegen: Trends der Radioonkologie 2015–2022</w:t>
      </w:r>
    </w:p>
    <w:p>
      <w:r>
        <w:rPr>
          <w:i/>
          <w:color w:val="666666"/>
          <w:sz w:val="18"/>
        </w:rPr>
        <w:t>Diefenhardt M et al.  ·  Strahlenther Onkol  ·  11.09.2026  ·  PMID 42726226</w:t>
      </w:r>
    </w:p>
    <w:p>
      <w:r>
        <w:t>Retrospektive Analyse von 8.842 Patienten in einer deutschen Uniklinik-Radiotherapie zwischen 2015 und 2022 zu Trends in Tumorentitäten, Alter und Behandlungsabständen.</w:t>
      </w:r>
    </w:p>
    <w:p>
      <w:r>
        <w:rPr>
          <w:b/>
        </w:rPr>
        <w:t xml:space="preserve">Ergebnis: </w:t>
      </w:r>
      <w:r>
        <w:t>Hautkrebs-Bestrahlungen stiegen um 79 %, Prostata um 10 %, Medianalter von 62 auf 64 Jahre; 47 % der Patienten kamen aus 10-km-Radius; Pandemie 2020-2021 führte zu keinen signifikanten Veränderungen in Patientenzahlen oder Tumortyp-Verteilung.</w:t>
      </w:r>
    </w:p>
    <w:p>
      <w:r>
        <w:rPr>
          <w:b/>
          <w:sz w:val="19"/>
        </w:rPr>
        <w:t xml:space="preserve">Übertragbarkeit: </w:t>
      </w:r>
      <w:r>
        <w:rPr>
          <w:sz w:val="19"/>
        </w:rPr>
        <w:t>Deutsche Uniklinik-Daten, direkt auf deutsches Radiotherapie-Versorgungssystem übertragbar.</w:t>
      </w:r>
    </w:p>
    <w:p>
      <w:r>
        <w:rPr>
          <w:color w:val="5A7D3A"/>
          <w:sz w:val="18"/>
        </w:rPr>
        <w:t>https://pubmed.ncbi.nlm.nih.gov/42726226/</w:t>
      </w:r>
    </w:p>
    <w:p>
      <w:pPr>
        <w:pStyle w:val="Heading2"/>
      </w:pPr>
      <w:r>
        <w:t>Cell-free DNA in Großzelliger B-Zell-Lymphom: technische Anforderungen für Minimal-Residual-Disease-Monitoring</w:t>
      </w:r>
    </w:p>
    <w:p>
      <w:r>
        <w:rPr>
          <w:i/>
          <w:color w:val="666666"/>
          <w:sz w:val="18"/>
        </w:rPr>
        <w:t>Krupka JA et al.  ·  Blood  ·  03.09.2026  ·  PMID 42691013</w:t>
      </w:r>
    </w:p>
    <w:p>
      <w:r>
        <w:t>Narrative Übersichtsarbeit zu ctDNA-Einsatz im diffusen großzelligen B-Zell-Lymphom mit Fokus auf technische Herausforderungen, Assay-Design und klinische Implementierung.</w:t>
      </w:r>
    </w:p>
    <w:p>
      <w:r>
        <w:rPr>
          <w:b/>
        </w:rPr>
        <w:t xml:space="preserve">Ergebnis: </w:t>
      </w:r>
      <w:r>
        <w:t>Tumor-informierte Assays mit mehreren genetischen Markern verbessern Sensitivität des Monitoring substanziell; Standardisierung und prospektive Validierung sind notwendig für Routineimplementierung; niedrige ctDNA-Häufigkeit und Unterscheidung von niedrigen Allel-Fraktionen bleiben Hauptprobleme.</w:t>
      </w:r>
    </w:p>
    <w:p>
      <w:r>
        <w:rPr>
          <w:b/>
          <w:sz w:val="19"/>
        </w:rPr>
        <w:t xml:space="preserve">Übertragbarkeit: </w:t>
      </w:r>
      <w:r>
        <w:rPr>
          <w:sz w:val="19"/>
        </w:rPr>
        <w:t>Technisches Review ohne spezifische Zahlen, eher Empfehlungscharakter; europäische Kontributoren.</w:t>
      </w:r>
    </w:p>
    <w:p>
      <w:r>
        <w:rPr>
          <w:color w:val="5A7D3A"/>
          <w:sz w:val="18"/>
        </w:rPr>
        <w:t>https://pubmed.ncbi.nlm.nih.gov/42691013/</w:t>
      </w:r>
    </w:p>
    <w:p>
      <w:pPr>
        <w:pStyle w:val="Heading2"/>
      </w:pPr>
      <w:r>
        <w:t>Tumor-Protein ADAMTSL4 treibt Kachexie durch TGFβ-Aktivierung – therapeutisches Ziel identifiziert</w:t>
      </w:r>
    </w:p>
    <w:p>
      <w:r>
        <w:rPr>
          <w:i/>
          <w:color w:val="666666"/>
          <w:sz w:val="18"/>
        </w:rPr>
        <w:t>Machado J et al.  ·  Cancer Discov  ·  01.09.2026  ·  PMID 42678278</w:t>
      </w:r>
    </w:p>
    <w:p>
      <w:r>
        <w:t>Mechanistische Studie in Modellen und Patienten mit kolorektalem und Lungenkarzinom zur Rolle von Tumor-Sekretion von ADAMTSL4 in der Pathogenese von Krebs-Kachexie.</w:t>
      </w:r>
    </w:p>
    <w:p>
      <w:r>
        <w:rPr>
          <w:b/>
        </w:rPr>
        <w:t xml:space="preserve">Ergebnis: </w:t>
      </w:r>
      <w:r>
        <w:t>ADAMTSL4-Überexpression machte nicht-kachektische Tumoren zu kachektischen; ADAMTSL4-Knockout reduzierte Muskelatrophie-Signaturen und Kachexie-Schweregrad; erhöhte zirkulierende ADAMTSL4-Level waren mit TGFβ-getriebener Muskelatrophie in Kachexie-Patienten assoziiert; ADAMTSL4-Blockade könnte selektive Therapie ohne systemische TGFβ-Blockade ermöglichen.</w:t>
      </w:r>
    </w:p>
    <w:p>
      <w:r>
        <w:rPr>
          <w:b/>
          <w:sz w:val="19"/>
        </w:rPr>
        <w:t xml:space="preserve">Übertragbarkeit: </w:t>
      </w:r>
      <w:r>
        <w:rPr>
          <w:sz w:val="19"/>
        </w:rPr>
        <w:t>USA-Studie mit deutschen und internationalen Zentren; präklinisches Modell mit klinischer Validierung – Weg zur Therapeutik erkennbar.</w:t>
      </w:r>
    </w:p>
    <w:p>
      <w:r>
        <w:rPr>
          <w:color w:val="5A7D3A"/>
          <w:sz w:val="18"/>
        </w:rPr>
        <w:t>https://pubmed.ncbi.nlm.nih.gov/42678278/</w:t>
      </w:r>
    </w:p>
    <w:p>
      <w:pPr>
        <w:pStyle w:val="Heading2"/>
      </w:pPr>
      <w:r>
        <w:t>Durvalumab perioperativ bei resektablem NSCLC: AEGEAN-Phase-III-Studie verbessert ereignisfreies Überleben</w:t>
      </w:r>
    </w:p>
    <w:p>
      <w:r>
        <w:rPr>
          <w:i/>
          <w:color w:val="666666"/>
          <w:sz w:val="18"/>
        </w:rPr>
        <w:t>Heymach JV et al.  ·  J Clin Oncol  ·  28.08.2026  ·  PMID 42664473</w:t>
      </w:r>
    </w:p>
    <w:p>
      <w:r>
        <w:t>Phase-III-Studie mit 740 Patienten zu neoadjuvanter Chemotherapie plus Durvalumab oder Placebo vor Operation und anschließender adjuvanter Durvalumab/Placebo-Therapie beim resektablen NSCLC Stadium II-IIIB.</w:t>
      </w:r>
    </w:p>
    <w:p>
      <w:r>
        <w:rPr>
          <w:b/>
        </w:rPr>
        <w:t xml:space="preserve">Ergebnis: </w:t>
      </w:r>
      <w:r>
        <w:t>Durvalumab reduzierte ereignisfreies Überleben (HR 0,69; 95%-KI 0,55–0,88), Zahlentrend für progressionsfreies Überleben (HR 0,66) und Gesamtüberleben (HR 0,89); Grad-3/4-Nebenwirkungen unter adjuvanter Therapie: 15,4 % vs. 10,6 % Placebo; Sicherheitsprofil konsistent mit Einzelsubstanzen.</w:t>
      </w:r>
    </w:p>
    <w:p>
      <w:r>
        <w:rPr>
          <w:b/>
          <w:sz w:val="19"/>
        </w:rPr>
        <w:t xml:space="preserve">Übertragbarkeit: </w:t>
      </w:r>
      <w:r>
        <w:rPr>
          <w:sz w:val="19"/>
        </w:rPr>
        <w:t>Internationale Phase-III-Studie mit europäischen Zentren; praxisverändernd bei AMNOG und Zulassung.</w:t>
      </w:r>
    </w:p>
    <w:p>
      <w:r>
        <w:rPr>
          <w:color w:val="5A7D3A"/>
          <w:sz w:val="18"/>
        </w:rPr>
        <w:t>https://pubmed.ncbi.nlm.nih.gov/42664473/</w:t>
      </w:r>
    </w:p>
    <w:p>
      <w:pPr>
        <w:pStyle w:val="Heading2"/>
      </w:pPr>
      <w:r>
        <w:t>Dynamisches Prognose-Modell CIRI2-CLL für Rezidivrisiko nach limitierter Therapie verbessert Vorhersage um bis zu 37 %</w:t>
      </w:r>
    </w:p>
    <w:p>
      <w:r>
        <w:rPr>
          <w:i/>
          <w:color w:val="666666"/>
          <w:sz w:val="18"/>
        </w:rPr>
        <w:t>Al-Sawaf O et al.  ·  J Clin Oncol  ·  27.08.2026  ·  PMID 42659576</w:t>
      </w:r>
    </w:p>
    <w:p>
      <w:r>
        <w:t>Validierungsstudie eines verfeinerten kontinuierlichen Risikoindex (CIRI2-CLL) zur Prognosebestimmung nach limitierter Behandlung der chronischen lymphatischen Leukämie mit Minimal-Residual-Disease-Status.</w:t>
      </w:r>
    </w:p>
    <w:p>
      <w:r>
        <w:rPr>
          <w:b/>
        </w:rPr>
        <w:t xml:space="preserve">Ergebnis: </w:t>
      </w:r>
      <w:r>
        <w:t>CIRI2-CLL zeigte gute Kalibrierung (ca. 5 % Differenz zwischen beobachteter und vorhergesagter Ereigniswahrscheinlichkeit); C-Statistik 0,82–0,98 an allen Zeitpunkten; 14–37 % Verbesserung der PFS-Vorhersage gegenüber MRD und CLL-IPI; 3-Jahres-PFS: 100,0 % (niedrig), 70,2 % (mittel), 10,8 % (hoch); Modell frei verfügbar auf Stanford-Plattform für individualisierte Therapieentscheidung.</w:t>
      </w:r>
    </w:p>
    <w:p>
      <w:r>
        <w:rPr>
          <w:b/>
          <w:sz w:val="19"/>
        </w:rPr>
        <w:t xml:space="preserve">Übertragbarkeit: </w:t>
      </w:r>
      <w:r>
        <w:rPr>
          <w:sz w:val="19"/>
        </w:rPr>
        <w:t>Deutsche CLL-Studiengruppe führend; validiert in europäischen und internationalen Kohorten.</w:t>
      </w:r>
    </w:p>
    <w:p>
      <w:r>
        <w:rPr>
          <w:color w:val="5A7D3A"/>
          <w:sz w:val="18"/>
        </w:rPr>
        <w:t>https://pubmed.ncbi.nlm.nih.gov/42659576/</w:t>
      </w:r>
    </w:p>
    <w:p>
      <w:pPr>
        <w:pStyle w:val="Heading1"/>
      </w:pPr>
      <w:r>
        <w:t>Aufgenommen am 12.09.2026</w:t>
      </w:r>
    </w:p>
    <w:p>
      <w:pPr>
        <w:pStyle w:val="Heading2"/>
      </w:pPr>
      <w:r>
        <w:t>PRO-Symptommonitoring bei Lungenkrebspatienten verlängert Gesamtüberleben um 5 Monate</w:t>
      </w:r>
    </w:p>
    <w:p>
      <w:r>
        <w:rPr>
          <w:i/>
          <w:color w:val="666666"/>
          <w:sz w:val="18"/>
        </w:rPr>
        <w:t>Hassing MJ et al.  ·  Lancet Oncol  ·  11.09.2026  ·  PMID 42727592</w:t>
      </w:r>
    </w:p>
    <w:p>
      <w:r>
        <w:t>Randomisierte niederländische Studie (14 medizinische Zentren, Stepped-Wedge-Design) zur Wirkung wöchentlicher Online-Symptomselbstberichte auf Überleben bei Patienten mit Lung Cancer im Stadium I-IV unter Behandlung.</w:t>
      </w:r>
    </w:p>
    <w:p>
      <w:r>
        <w:rPr>
          <w:b/>
        </w:rPr>
        <w:t xml:space="preserve">Ergebnis: </w:t>
      </w:r>
      <w:r>
        <w:t>Bei 446 Patienten (median 50 Monate Follow-up): Median Overall Survival in der Intervention 26 Monate versus Kontrolle 21 Monate (Hazard Ratio 0,80; 95%-CI 0,63–1,00; p=0,049). Progression-Free Survival zeigte keinen signifikanten Unterschied (HR 0,86; p=0,18). Praxisrelevant: strukturierte Patient-Reported Outcomes ermöglichen 5-Monate-Gewinn bei aktuellen Therapien.</w:t>
      </w:r>
    </w:p>
    <w:p>
      <w:r>
        <w:rPr>
          <w:b/>
          <w:sz w:val="19"/>
        </w:rPr>
        <w:t xml:space="preserve">Übertragbarkeit: </w:t>
      </w:r>
      <w:r>
        <w:rPr>
          <w:sz w:val="19"/>
        </w:rPr>
        <w:t>Niederländische Klinikdaten mit Versorgungsauftrag ähnlich Deutschland</w:t>
      </w:r>
    </w:p>
    <w:p>
      <w:r>
        <w:rPr>
          <w:color w:val="5A7D3A"/>
          <w:sz w:val="18"/>
        </w:rPr>
        <w:t>https://pubmed.ncbi.nlm.nih.gov/42727592/</w:t>
      </w:r>
    </w:p>
    <w:p>
      <w:pPr>
        <w:pStyle w:val="Heading2"/>
      </w:pPr>
      <w:r>
        <w:t>Trastuzumab Botidotin gegenüber Trastuzumab Emtansine: 11,1 vs. 4,4 Monate progressionsfreies Überleben</w:t>
      </w:r>
    </w:p>
    <w:p>
      <w:r>
        <w:rPr>
          <w:i/>
          <w:color w:val="666666"/>
          <w:sz w:val="18"/>
        </w:rPr>
        <w:t>Zhang J et al.  ·  J Clin Oncol  ·  11.09.2026  ·  PMID 42727044</w:t>
      </w:r>
    </w:p>
    <w:p>
      <w:r>
        <w:t>Phase-III-Studie (365 Patienten, China, 57 Zentren) mit randomisierter Direktvergleich zweier HER2-gerichteter Antikörper-Wirkstoff-Konjugate bei vorbehandeltem HER2-positivem metastasiertem Brustkrebs.</w:t>
      </w:r>
    </w:p>
    <w:p>
      <w:r>
        <w:rPr>
          <w:b/>
        </w:rPr>
        <w:t xml:space="preserve">Ergebnis: </w:t>
      </w:r>
      <w:r>
        <w:t>Trastuzumab Botidotin vs. Trastuzumab Emtansine: medianes Progression-Free Survival 11,1 vs. 4,4 Monate (HR 0,39; p&lt;0,0001); Objective Response Rate 76,9% vs. 53,0%. Grade ≥3 unerwünschte Ereignisse 69,8% vs. 63,7%, höchste Inzidenz bei Augenoberflächen-Toxizität (47,7%), aber meist reversibel.</w:t>
      </w:r>
    </w:p>
    <w:p>
      <w:r>
        <w:rPr>
          <w:b/>
          <w:sz w:val="19"/>
        </w:rPr>
        <w:t xml:space="preserve">Übertragbarkeit: </w:t>
      </w:r>
      <w:r>
        <w:rPr>
          <w:sz w:val="19"/>
        </w:rPr>
        <w:t>China-Studie, Botidotin hat EU-Zulassung; Übertragbarkeit für deutsche Zentren gegeben</w:t>
      </w:r>
    </w:p>
    <w:p>
      <w:r>
        <w:rPr>
          <w:color w:val="5A7D3A"/>
          <w:sz w:val="18"/>
        </w:rPr>
        <w:t>https://pubmed.ncbi.nlm.nih.gov/42727044/</w:t>
      </w:r>
    </w:p>
    <w:p>
      <w:pPr>
        <w:pStyle w:val="Heading2"/>
      </w:pPr>
      <w:r>
        <w:t>Lokale Therapie + Immune Checkpoint Inhibitor bei rezidiviertem/metastasiertem Nasopharynxkarzinom: 30,5 vs. 16,8 Monate PFS</w:t>
      </w:r>
    </w:p>
    <w:p>
      <w:r>
        <w:rPr>
          <w:i/>
          <w:color w:val="666666"/>
          <w:sz w:val="18"/>
        </w:rPr>
        <w:t>Chen X et al.  ·  Eur J Cancer  ·  27.08.2026  ·  PMID 42721861</w:t>
      </w:r>
    </w:p>
    <w:p>
      <w:r>
        <w:t>Retrospektive chinesische Studie (223 Patienten, Fudan University Shanghai) zum Vergleich von ICI allein versus lokale Therapie kombiniert mit ICI (LOCI) bei rezidiviertem oder metastasiertem Nasopharynxkarzinom; IPTW und Propensity-Score-Matching zur Confounding-Kontrolle.</w:t>
      </w:r>
    </w:p>
    <w:p>
      <w:r>
        <w:rPr>
          <w:b/>
        </w:rPr>
        <w:t xml:space="preserve">Ergebnis: </w:t>
      </w:r>
      <w:r>
        <w:t>Median Progression-Free Survival mit LOCI 30,53 Monate vs. ICI allein 16,77 Monate (HR 0,524; 95%-CI 0,339–0,785; log-rank p=0,0014). Benefit nach PSM und IPTW-Adjustment bestätigt. Bei lokalem Rezidiv oder Nodusbefall (LRR-NPC): verbessertes Distant-Metastasis-Free-Survival (HR 0,437). Bei Oligometastasen (≤3 Läsionen) ebenfalls PFS-Vorteil (HR 0,458; p=0,0416).</w:t>
      </w:r>
    </w:p>
    <w:p>
      <w:r>
        <w:rPr>
          <w:b/>
          <w:sz w:val="19"/>
        </w:rPr>
        <w:t xml:space="preserve">Übertragbarkeit: </w:t>
      </w:r>
      <w:r>
        <w:rPr>
          <w:sz w:val="19"/>
        </w:rPr>
        <w:t>China, Strahlentherapie mit ICI-Standard auch europäisch; Real-World-Ansatz übertragbar</w:t>
      </w:r>
    </w:p>
    <w:p>
      <w:r>
        <w:rPr>
          <w:color w:val="5A7D3A"/>
          <w:sz w:val="18"/>
        </w:rPr>
        <w:t>https://pubmed.ncbi.nlm.nih.gov/42721861/</w:t>
      </w:r>
    </w:p>
    <w:p>
      <w:pPr>
        <w:pStyle w:val="Heading2"/>
      </w:pPr>
      <w:r>
        <w:t>EORTC QLQ-CHI: erste Lebensqualitätsskala speziell für Kinder mit Krebs (8–14 Jahre)</w:t>
      </w:r>
    </w:p>
    <w:p>
      <w:r>
        <w:rPr>
          <w:i/>
          <w:color w:val="666666"/>
          <w:sz w:val="18"/>
        </w:rPr>
        <w:t>Vetrano C et al.  ·  Eur J Cancer  ·  05.10.2026  ·  PMID 42685381</w:t>
      </w:r>
    </w:p>
    <w:p>
      <w:r>
        <w:t>Mixed-Methods-Studie (Phasen I/II) zur Entwicklung eines EORTC-Fragebogenmoduls; 47 Kinder, 45 Eltern, 22 Fachleute aus 6 Ländern; Leitlinien der EORTC Quality-of-Life Group.</w:t>
      </w:r>
    </w:p>
    <w:p>
      <w:r>
        <w:rPr>
          <w:b/>
        </w:rPr>
        <w:t xml:space="preserve">Ergebnis: </w:t>
      </w:r>
      <w:r>
        <w:t>57 Schlüsselprobleme identifiziert aus 1.200+ initial bewerteten Aspekten (Vergleich Kinder-, Eltern- und Fachperspektive). Kinder präferierten 4 Antwortoptionen (70,0%) und kürzere Recall-Periode (43,3%). Fragebogen mit 50 Items in zwei Skalenbereiche eingeteilt: symptomorientiert und psychosozial. Nächste Schritte: Pilottestung (Phase III/IV), Validierung.</w:t>
      </w:r>
    </w:p>
    <w:p>
      <w:r>
        <w:rPr>
          <w:b/>
          <w:sz w:val="19"/>
        </w:rPr>
        <w:t xml:space="preserve">Übertragbarkeit: </w:t>
      </w:r>
      <w:r>
        <w:rPr>
          <w:sz w:val="19"/>
        </w:rPr>
        <w:t>Europäisches Netzwerk (EORTC), Grundlage für standardisierte Erfassung in Zentren</w:t>
      </w:r>
    </w:p>
    <w:p>
      <w:r>
        <w:rPr>
          <w:color w:val="5A7D3A"/>
          <w:sz w:val="18"/>
        </w:rPr>
        <w:t>https://pubmed.ncbi.nlm.nih.gov/42685381/</w:t>
      </w:r>
    </w:p>
    <w:p>
      <w:pPr>
        <w:pStyle w:val="Heading2"/>
      </w:pPr>
      <w:r>
        <w:t>Tislelizumab + Chemotherapie bei Ösophaguskarzinom: 45-Monate-Überleben</w:t>
      </w:r>
    </w:p>
    <w:p>
      <w:r>
        <w:rPr>
          <w:i/>
          <w:color w:val="666666"/>
          <w:sz w:val="18"/>
        </w:rPr>
        <w:t>Tougeron D et al.  ·  ESMO Open  ·  27.08.2026  ·  PMID 42659894</w:t>
      </w:r>
    </w:p>
    <w:p>
      <w:r>
        <w:t>Randomisierte Phase-III-Studie (RATIONALE-306) mit 649 Patienten weltweit; Analyse der Subgruppe mit PD-L1 Tumor Area Positivity ≥5% im Langzeit-Follow-up.</w:t>
      </w:r>
    </w:p>
    <w:p>
      <w:r>
        <w:rPr>
          <w:b/>
        </w:rPr>
        <w:t xml:space="preserve">Ergebnis: </w:t>
      </w:r>
      <w:r>
        <w:t>Bei 358 Patienten mit PD-L1 TAP ≥5% (Tislelizumab+CT n=172, Placebo+CT n=186): Median Overall Survival 19,1 vs. 10,0 Monate (HR 0,61); Progression-Free Survival 8,2 vs. 5,5 Monate (HR 0,50); Objektive Ansprechrate 71,5% vs. 41,4%. Haltbarkeit über 45 Monate bestätigt; Sicherheitsprofil unverändert.</w:t>
      </w:r>
    </w:p>
    <w:p>
      <w:r>
        <w:rPr>
          <w:b/>
          <w:sz w:val="19"/>
        </w:rPr>
        <w:t xml:space="preserve">Übertragbarkeit: </w:t>
      </w:r>
      <w:r>
        <w:rPr>
          <w:sz w:val="19"/>
        </w:rPr>
        <w:t>Internationale Studie, Therapie europäisch zugelassen (EMA-Empfehlung PD-L1-Stratifizierung)</w:t>
      </w:r>
    </w:p>
    <w:p>
      <w:r>
        <w:rPr>
          <w:color w:val="5A7D3A"/>
          <w:sz w:val="18"/>
        </w:rPr>
        <w:t>https://pubmed.ncbi.nlm.nih.gov/42659894/</w:t>
      </w:r>
    </w:p>
    <w:p>
      <w:pPr>
        <w:pStyle w:val="Heading2"/>
      </w:pPr>
      <w:r>
        <w:t>Hypomethylierende Mittel + Venetoclax bei älteren AML-Patienten: 69% komplette Remissionen, 19,1 Monate Überleben</w:t>
      </w:r>
    </w:p>
    <w:p>
      <w:r>
        <w:rPr>
          <w:i/>
          <w:color w:val="666666"/>
          <w:sz w:val="18"/>
        </w:rPr>
        <w:t>Diekmann B et al.  ·  Eur J Cancer  ·  05.10.2026  ·  PMID 42659837</w:t>
      </w:r>
    </w:p>
    <w:p>
      <w:r>
        <w:t>Niederländische Real-World-Studie in 15 Krankenhäusern mit 209 älteren Patienten (≥65 Jahre) mit neu diagnostizierter AML, die nicht für intensive Chemotherapie geeignet waren; Nachbeobachtung median 25,9 Monate.</w:t>
      </w:r>
    </w:p>
    <w:p>
      <w:r>
        <w:rPr>
          <w:b/>
        </w:rPr>
        <w:t xml:space="preserve">Ergebnis: </w:t>
      </w:r>
      <w:r>
        <w:t>Composite Complete Remission in 69%; 3-Monats-Mortalität 15%; medianes Gesamtüberleben 19,1 Monate (ELN2024 High-Benefit-Gruppe 22,1, Intermediate 10,9, Lower-Benefit 6,8 Monate). Allogene Stammzelltransplantation (37 Patienten, 18%) verbesserungsfähig mit HR 0,24 für Tod (p&lt;0,001). Antifungale Agenten in 72% der ersten Zyklen assoziiert mit reduzierter Mortalität (HR 0,605; p=0,010).</w:t>
      </w:r>
    </w:p>
    <w:p>
      <w:r>
        <w:rPr>
          <w:b/>
          <w:sz w:val="19"/>
        </w:rPr>
        <w:t xml:space="preserve">Übertragbarkeit: </w:t>
      </w:r>
      <w:r>
        <w:rPr>
          <w:sz w:val="19"/>
        </w:rPr>
        <w:t>Niederländisches Versicherungssystem, vergleichbar Deutschland; Dosierungsoptimierung und Wechselwirkungen reduzieren Kosten</w:t>
      </w:r>
    </w:p>
    <w:p>
      <w:r>
        <w:rPr>
          <w:color w:val="5A7D3A"/>
          <w:sz w:val="18"/>
        </w:rPr>
        <w:t>https://pubmed.ncbi.nlm.nih.gov/42659837/</w:t>
      </w:r>
    </w:p>
    <w:p>
      <w:pPr>
        <w:pStyle w:val="Heading1"/>
      </w:pPr>
      <w:r>
        <w:t>Aufgenommen am 11.09.2026</w:t>
      </w:r>
    </w:p>
    <w:p>
      <w:pPr>
        <w:pStyle w:val="Heading2"/>
      </w:pPr>
      <w:r>
        <w:t>Acht Mutationsmuster definieren Prostatakrebs-Subtypen mit unterschiedlichem Metastasierungs- und Therapierisiko</w:t>
      </w:r>
    </w:p>
    <w:p>
      <w:r>
        <w:rPr>
          <w:i/>
          <w:color w:val="666666"/>
          <w:sz w:val="18"/>
        </w:rPr>
        <w:t>Gruber AJ et al.  ·  Nature  ·  09.09.2026  ·  PMID 42717097</w:t>
      </w:r>
    </w:p>
    <w:p>
      <w:r>
        <w:t>Internationale Kohorte von 959 Patienten mit 959 Prostatakrebstumoren wurde mittels Mutationssignatur-Analyse charakterisiert, um klinisch relevante Subtypen zu identifizieren.</w:t>
      </w:r>
    </w:p>
    <w:p>
      <w:r>
        <w:rPr>
          <w:b/>
        </w:rPr>
        <w:t xml:space="preserve">Ergebnis: </w:t>
      </w:r>
      <w:r>
        <w:t>Acht integrierte Mutationsfuß­abdrücke (IMF) erklären 85% der Pri­märtumoren; vier IMF (in 37% vorhanden) assoziierten mit verkürzter Zeit bis Metastasierung; Biomarker sagten Ansprechen auf Androgen-Rezeptor-Inhibitoren voraus.</w:t>
      </w:r>
    </w:p>
    <w:p>
      <w:r>
        <w:rPr>
          <w:b/>
          <w:sz w:val="19"/>
        </w:rPr>
        <w:t xml:space="preserve">Übertragbarkeit: </w:t>
      </w:r>
      <w:r>
        <w:rPr>
          <w:sz w:val="19"/>
        </w:rPr>
        <w:t>Europäische Zentren, deutsche DKFZ-Beteiligung; Grundlage für zukünftige Risikoschichtung im deutschen Versorgungssystem.</w:t>
      </w:r>
    </w:p>
    <w:p>
      <w:r>
        <w:rPr>
          <w:color w:val="5A7D3A"/>
          <w:sz w:val="18"/>
        </w:rPr>
        <w:t>https://pubmed.ncbi.nlm.nih.gov/42717097/</w:t>
      </w:r>
    </w:p>
    <w:p>
      <w:pPr>
        <w:pStyle w:val="Heading2"/>
      </w:pPr>
      <w:r>
        <w:t>DEGRO-Leitlinien-Update: Proton­therapie vs. Photonen-Radiotherapie bei Oropharynxkarzinom – keine klare Überlegenheit trotz Phase-III-Daten</w:t>
      </w:r>
    </w:p>
    <w:p>
      <w:r>
        <w:rPr>
          <w:i/>
          <w:color w:val="666666"/>
          <w:sz w:val="18"/>
        </w:rPr>
        <w:t>Reichl S et al.  ·  Strahlenther Onkol  ·  07.09.2026  ·  PMID 42706355</w:t>
      </w:r>
    </w:p>
    <w:p>
      <w:r>
        <w:t>Stellungnahme der DEGRO-Arbeitsgruppe Kopf-Hals-Tumoren zur Interpretation widersprüchlicher Phase-III-Evidenz zwischen Proton- und Photonen-Strahlentherapie beim Oropharynxkarzinom.</w:t>
      </w:r>
    </w:p>
    <w:p>
      <w:r>
        <w:rPr>
          <w:b/>
        </w:rPr>
        <w:t xml:space="preserve">Ergebnis: </w:t>
      </w:r>
      <w:r>
        <w:t>Panel-Konsens: Protontherapie zeigt in einzelnen Studien Vorteile bei Reduktion von Nebenwirkungen, aber keine konsistente Überlegenheit beim Gesamt­überleben; Empfehlung für Risk-adaptive Anwendung und Zentrumskonzentration; kein Wechsel der Leitlinie zu Routineprotontherapie.</w:t>
      </w:r>
    </w:p>
    <w:p>
      <w:r>
        <w:rPr>
          <w:b/>
          <w:sz w:val="19"/>
        </w:rPr>
        <w:t xml:space="preserve">Übertragbarkeit: </w:t>
      </w:r>
      <w:r>
        <w:rPr>
          <w:sz w:val="19"/>
        </w:rPr>
        <w:t>Deutsche Fachgesellschaft (DEGRO), deutschsprachiger Raum; direkte Auswirkung auf Zertifizierungskriterien und Versorgungsvergütung im deutschen System.</w:t>
      </w:r>
    </w:p>
    <w:p>
      <w:r>
        <w:rPr>
          <w:color w:val="5A7D3A"/>
          <w:sz w:val="18"/>
        </w:rPr>
        <w:t>https://pubmed.ncbi.nlm.nih.gov/42706355/</w:t>
      </w:r>
    </w:p>
    <w:p>
      <w:pPr>
        <w:pStyle w:val="Heading2"/>
      </w:pPr>
      <w:r>
        <w:t>Atezolizumab neoadjuvant in dreifach-negativem Brustkrebs: NSABP-B-59/Gepar­Douze Phase-III-Trial senkt nicht signifikant EFS</w:t>
      </w:r>
    </w:p>
    <w:p>
      <w:r>
        <w:rPr>
          <w:i/>
          <w:color w:val="666666"/>
          <w:sz w:val="18"/>
        </w:rPr>
        <w:t>Loibl S et al.  ·  Nat Med  ·  01.09.2026  ·  PMID 42680950</w:t>
      </w:r>
    </w:p>
    <w:p>
      <w:r>
        <w:t>Randomisiert 1.550 Patientinnen mit Stadium II–III Brustkrebs ohne HR, HER2; Atezolizumab oder Placebo zusätzlich zu Taxan-Carboplatin-Anthrazyklin-Chemotherapie neoadjuvant.</w:t>
      </w:r>
    </w:p>
    <w:p>
      <w:r>
        <w:rPr>
          <w:b/>
        </w:rPr>
        <w:t xml:space="preserve">Ergebnis: </w:t>
      </w:r>
      <w:r>
        <w:t>Hazard Ratio für ereignisfreies Überleben 0,80 (95%-CI 0,62–1,03; p = 0,083), 4-Jahres-EFS-Differenz 3,3%; Subgruppe mit lymphonodalen Metastasen möglicherweise profitierend; Immunnebenwirkungen in Atezolizumab-Arm 27,6% versus 11,4%.</w:t>
      </w:r>
    </w:p>
    <w:p>
      <w:r>
        <w:rPr>
          <w:b/>
          <w:sz w:val="19"/>
        </w:rPr>
        <w:t xml:space="preserve">Übertragbarkeit: </w:t>
      </w:r>
      <w:r>
        <w:rPr>
          <w:sz w:val="19"/>
        </w:rPr>
        <w:t>Deutschland und USA (GBG/NSABP-Netzwerk), europäische Zentren führend; keine Änderung deutschen Leitlinien zu erwarten.</w:t>
      </w:r>
    </w:p>
    <w:p>
      <w:r>
        <w:rPr>
          <w:color w:val="5A7D3A"/>
          <w:sz w:val="18"/>
        </w:rPr>
        <w:t>https://pubmed.ncbi.nlm.nih.gov/42680950/</w:t>
      </w:r>
    </w:p>
    <w:p>
      <w:pPr>
        <w:pStyle w:val="Heading2"/>
      </w:pPr>
      <w:r>
        <w:t>Tisagenlecleucel bei Post-HSCT-Relaps in pädiatrischer ALL: europäische Real-World-Daten nennen Risikofaktoren für CAR-T-Versagen</w:t>
      </w:r>
    </w:p>
    <w:p>
      <w:r>
        <w:rPr>
          <w:i/>
          <w:color w:val="666666"/>
          <w:sz w:val="18"/>
        </w:rPr>
        <w:t>Moser LM et al.  ·  Leukemia  ·  31.08.2026  ·  PMID 42675139</w:t>
      </w:r>
    </w:p>
    <w:p>
      <w:r>
        <w:t>Europäisches Multizenter-Register 220 Kindern/jungen Erwachsenen mit B-ALL nach Stammzelltransplantation und Rezidiv, behandelt mit CAR-T; Median-Follow-up 30 Monate.</w:t>
      </w:r>
    </w:p>
    <w:p>
      <w:r>
        <w:rPr>
          <w:b/>
        </w:rPr>
        <w:t xml:space="preserve">Ergebnis: </w:t>
      </w:r>
      <w:r>
        <w:t>2-Jahres-EFS 43,6%, OS 67,2%, CAR-T-Versagensrate 57,1%; niedriges OS bei MSD-Vorbehandlung (59,1% vs. Alternative-Donor 80,2%, p = 0,046); frühes Relaps (&lt;6 Mo post-HSCT) führte zu 2J-EFS 23,7% vs. 49,8% bei spätem Relaps (p = 0,001); Krankheitslast bei Lymphodeplation war signifikanter Outcome-Prädiktor.</w:t>
      </w:r>
    </w:p>
    <w:p>
      <w:r>
        <w:rPr>
          <w:b/>
          <w:sz w:val="19"/>
        </w:rPr>
        <w:t xml:space="preserve">Übertragbarkeit: </w:t>
      </w:r>
      <w:r>
        <w:rPr>
          <w:sz w:val="19"/>
        </w:rPr>
        <w:t>Zentren aus Deutschland, Österreich, Italien, Skandinavien; identifiziert hochrisiko-Kandidaten für verbesserte Nachbetreuung in deutschem System.</w:t>
      </w:r>
    </w:p>
    <w:p>
      <w:r>
        <w:rPr>
          <w:color w:val="5A7D3A"/>
          <w:sz w:val="18"/>
        </w:rPr>
        <w:t>https://pubmed.ncbi.nlm.nih.gov/42675139/</w:t>
      </w:r>
    </w:p>
    <w:p>
      <w:pPr>
        <w:pStyle w:val="Heading2"/>
      </w:pPr>
      <w:r>
        <w:t>Ältere Patienten (≥70J) mit resektablem Magenkrebs: Verträglichkeit perioperativer Therapie in TOPGEAR-Subanalyse vergleichbar mit Jüngeren trotz Dosisreduktionen</w:t>
      </w:r>
    </w:p>
    <w:p>
      <w:r>
        <w:rPr>
          <w:i/>
          <w:color w:val="666666"/>
          <w:sz w:val="18"/>
        </w:rPr>
        <w:t>Rühle A et al.  ·  Eur J Cancer  ·  05.10.2026  ·  PMID 42673704</w:t>
      </w:r>
    </w:p>
    <w:p>
      <w:r>
        <w:t>Sekundäranalyse Phase-III-Trial TOPGEAR mit 135 älteren (≥70J) und 439 jüngeren Patienten mit resektablem Magen­/Ösophageal-Karzinom; randomisiert zu Perioperativ-Chemotherapie oder zusätzlich präoperativer Chemoradiotherapie.</w:t>
      </w:r>
    </w:p>
    <w:p>
      <w:r>
        <w:rPr>
          <w:b/>
        </w:rPr>
        <w:t xml:space="preserve">Ergebnis: </w:t>
      </w:r>
      <w:r>
        <w:t>Ältere Patienten häufiger Chemotherapie-Dosismodifikationen (Chemoradiotherapie: 55% vs. 35%, p = 0,004); Grad-≥3-Nebenwirkungen vergleichbar (Chemoradiotherapie 66% vs. 67%); OS und PFS numerisch günstiger bei älteren (HR 0,86; HR 0,75); Operationsraten, chirurgische Komplikationen und 30/90-Tage-Mortalität ähnlich.</w:t>
      </w:r>
    </w:p>
    <w:p>
      <w:r>
        <w:rPr>
          <w:b/>
          <w:sz w:val="19"/>
        </w:rPr>
        <w:t xml:space="preserve">Übertragbarkeit: </w:t>
      </w:r>
      <w:r>
        <w:rPr>
          <w:sz w:val="19"/>
        </w:rPr>
        <w:t>Australisches/internationales Zentren-Netzwerk, aber Dosierungsschemen und ECOG-Kriterien Standard in Deutschland; liefert Evidenz für Machbarkeit im älteren Setting.</w:t>
      </w:r>
    </w:p>
    <w:p>
      <w:r>
        <w:rPr>
          <w:color w:val="5A7D3A"/>
          <w:sz w:val="18"/>
        </w:rPr>
        <w:t>https://pubmed.ncbi.nlm.nih.gov/42673704/</w:t>
      </w:r>
    </w:p>
    <w:p>
      <w:pPr>
        <w:pStyle w:val="Heading2"/>
      </w:pPr>
      <w:r>
        <w:t>Diagnostische Zulassungs­pfade als unterschätzter Engpass: Real-World-Daten zeigen 129-Tage-Genehmigung für Biomarker-Tests überschreitet klinische Prüfungsanträge</w:t>
      </w:r>
    </w:p>
    <w:p>
      <w:r>
        <w:rPr>
          <w:i/>
          <w:color w:val="666666"/>
          <w:sz w:val="18"/>
        </w:rPr>
        <w:t>Hersey S et al.  ·  Eur J Cancer  ·  05.10.2026  ·  PMID 42664749</w:t>
      </w:r>
    </w:p>
    <w:p>
      <w:r>
        <w:t>Analyse 132 europäischer IVDR-2017/746-Anträge (PSA, Ethics-Committee) aus 18 EU-Ländern + 2 Nicht-EU-Ländern zu Genehmigungszeiten für Biomarker-Tests in Precision-Oncology-Trials.</w:t>
      </w:r>
    </w:p>
    <w:p>
      <w:r>
        <w:rPr>
          <w:b/>
        </w:rPr>
        <w:t xml:space="preserve">Ergebnis: </w:t>
      </w:r>
      <w:r>
        <w:t>Mittlere kombinierte Genehmigungszeit 129,4 Tage (Median 116,5); sequenziell eingereichte Anträge dauerten 139,97 Tage, parallele 121,11 Tage (15,6% länger, p = 0,041); Länder-Range 75,66–175 Tage; 24% der Studien zeigten signifikanten PFS-Benefit ohne OS-Vorteil; substantielle Länder-Variabilität in IVDR-Umsetzung.</w:t>
      </w:r>
    </w:p>
    <w:p>
      <w:r>
        <w:rPr>
          <w:b/>
          <w:sz w:val="19"/>
        </w:rPr>
        <w:t xml:space="preserve">Übertragbarkeit: </w:t>
      </w:r>
      <w:r>
        <w:rPr>
          <w:sz w:val="19"/>
        </w:rPr>
        <w:t>Europäischer Datensatz, 18 EU-Mitgliedstaaten; direktes Policy-Hindernis für deutsche Precision-Oncology-Trials.</w:t>
      </w:r>
    </w:p>
    <w:p>
      <w:r>
        <w:rPr>
          <w:color w:val="5A7D3A"/>
          <w:sz w:val="18"/>
        </w:rPr>
        <w:t>https://pubmed.ncbi.nlm.nih.gov/42664749/</w:t>
      </w:r>
    </w:p>
    <w:p>
      <w:pPr>
        <w:pStyle w:val="Heading1"/>
      </w:pPr>
      <w:r>
        <w:t>Aufgenommen am 10.09.2026</w:t>
      </w:r>
    </w:p>
    <w:p>
      <w:pPr>
        <w:pStyle w:val="Heading2"/>
      </w:pPr>
      <w:r>
        <w:t>LGsig-Klassifikation verbessert Therapievorhersage beim Diffusen großzelligen B-Zell-Lymphom</w:t>
      </w:r>
    </w:p>
    <w:p>
      <w:r>
        <w:rPr>
          <w:i/>
          <w:color w:val="666666"/>
          <w:sz w:val="18"/>
        </w:rPr>
        <w:t>Tumuluru S et al.  ·  J Clin Oncol  ·  09.09.2026  ·  PMID 42715516</w:t>
      </w:r>
    </w:p>
    <w:p>
      <w:r>
        <w:t>Eine neue Klassifikationsmethode (LGsig) integriert genetische und Genexpressions-Profile, um Patienten mit diffusem großzelligem B-Zell-Lymphom in biologisch relevante Subtypen einzuordnen und deren Ansprechen auf gezielte Therapien besser vorherzusagen.</w:t>
      </w:r>
    </w:p>
    <w:p>
      <w:r>
        <w:rPr>
          <w:b/>
        </w:rPr>
        <w:t xml:space="preserve">Ergebnis: </w:t>
      </w:r>
      <w:r>
        <w:t>LGsig klassifizierte alle DLBCL-Fälle, einschließlich zuvor unklassifizierbarer Tumoren. In der POLARIX-Studie zeigte sich ein signifikanter Überlebensvorteil für Patienten mit bestimmten LGsig-Subtypen unter Polatuzumab vedotin-R-CHP versus R-CHOP in sowohl genetisch klassifizierten als auch unklassifizierten Fällen.</w:t>
      </w:r>
    </w:p>
    <w:p>
      <w:r>
        <w:rPr>
          <w:b/>
          <w:sz w:val="19"/>
        </w:rPr>
        <w:t xml:space="preserve">Übertragbarkeit: </w:t>
      </w:r>
      <w:r>
        <w:rPr>
          <w:sz w:val="19"/>
        </w:rPr>
        <w:t>Plattformübergreifend einsetzbare Genexpressions-Technik; Anwendbarkeit auf archivale Proben erleichtert klinische Integration in deutschen Tumorzentren.</w:t>
      </w:r>
    </w:p>
    <w:p>
      <w:r>
        <w:rPr>
          <w:color w:val="5A7D3A"/>
          <w:sz w:val="18"/>
        </w:rPr>
        <w:t>https://pubmed.ncbi.nlm.nih.gov/42715516/</w:t>
      </w:r>
    </w:p>
    <w:p>
      <w:pPr>
        <w:pStyle w:val="Heading2"/>
      </w:pPr>
      <w:r>
        <w:t>NECTIN4-Scoring-System und Amplifikation vorhersagen Ansprechen auf Enfortumab vedotin beim Urothelkarzinom</w:t>
      </w:r>
    </w:p>
    <w:p>
      <w:r>
        <w:rPr>
          <w:i/>
          <w:color w:val="666666"/>
          <w:sz w:val="18"/>
        </w:rPr>
        <w:t>Klümper N et al.  ·  Clin Cancer Res  ·  09.09.2026  ·  PMID 42714834</w:t>
      </w:r>
    </w:p>
    <w:p>
      <w:r>
        <w:t>Eine deutsche und internationale Studie entwickelte ein kombiniertes Scoring-System, das NECTIN4-Gen-Amplifikation und membranöse Proteinexpression integriert, um Patienten mit metastasiertem Urothelkarzinom zu identifizieren, die von Enfortumab vedotin profitieren werden.</w:t>
      </w:r>
    </w:p>
    <w:p>
      <w:r>
        <w:rPr>
          <w:b/>
        </w:rPr>
        <w:t xml:space="preserve">Ergebnis: </w:t>
      </w:r>
      <w:r>
        <w:t>Das integrierte Drei-Strata-Modell (amplifiziert, nicht-amplifiziert/hohe membranöse Expression, nicht-amplifiziert/niedrige membranöse Expression) erreichte Ansprechquoten von 77,2%, 42,9% und 26,1% (p&lt;0,001). NECTIN4-amplierte Tumoren zeigten besonders günstige Ergebnisse (Progression-Free Survival 12,2 Monate, Overall Survival 30,1 Monate).</w:t>
      </w:r>
    </w:p>
    <w:p>
      <w:r>
        <w:rPr>
          <w:b/>
          <w:sz w:val="19"/>
        </w:rPr>
        <w:t xml:space="preserve">Übertragbarkeit: </w:t>
      </w:r>
      <w:r>
        <w:rPr>
          <w:sz w:val="19"/>
        </w:rPr>
        <w:t>Deutschlandweite Multizenterstudie mit 39 Zentren; direkt transferierbar auf Zertifizierungsanforderungen und Tumorboard-Entscheidungen.</w:t>
      </w:r>
    </w:p>
    <w:p>
      <w:r>
        <w:rPr>
          <w:color w:val="5A7D3A"/>
          <w:sz w:val="18"/>
        </w:rPr>
        <w:t>https://pubmed.ncbi.nlm.nih.gov/42714834/</w:t>
      </w:r>
    </w:p>
    <w:p>
      <w:pPr>
        <w:pStyle w:val="Heading2"/>
      </w:pPr>
      <w:r>
        <w:t>DEGRO-Empfehlungen zur Strahlentherapie des Merkelzellkarzinoms mit Fokus auf Hypofraktionierung</w:t>
      </w:r>
    </w:p>
    <w:p>
      <w:r>
        <w:rPr>
          <w:i/>
          <w:color w:val="666666"/>
          <w:sz w:val="18"/>
        </w:rPr>
        <w:t>Elsayad K et al.  ·  Strahlenther Onkol  ·  09.09.2026  ·  PMID 42714572</w:t>
      </w:r>
    </w:p>
    <w:p>
      <w:r>
        <w:t>Eine Arbeitsgruppe der Deutschen Gesellschaft für Radioonkologie (DEGRO) formulierte evidenzbasierte Empfehlungen zur Strahlentherapie von Merkelzellkarzinomen, einschließlich Optionen für moderate und ultrahypofraktionierte Regime.</w:t>
      </w:r>
    </w:p>
    <w:p>
      <w:r>
        <w:rPr>
          <w:b/>
        </w:rPr>
        <w:t xml:space="preserve">Ergebnis: </w:t>
      </w:r>
      <w:r>
        <w:t>Adjuvante Strahlentherapie nach Chirurgie sollte idealerweise innerhalb von 8 Wochen eingeleitet werden. Für Patienten mit Gebrechlichkeit oder Komorbiditäten sind kürzere, moderat-hypofraktionierte oder ultrahypofraktionierte Schemata wirksame Alternativen zur klassischen Fraktionierung. Die Kombination von Immuntherapie mit Strahlung wird als Schwerpunkt zukünftiger Forschung identifiziert.</w:t>
      </w:r>
    </w:p>
    <w:p>
      <w:r>
        <w:rPr>
          <w:b/>
          <w:sz w:val="19"/>
        </w:rPr>
        <w:t xml:space="preserve">Übertragbarkeit: </w:t>
      </w:r>
      <w:r>
        <w:rPr>
          <w:sz w:val="19"/>
        </w:rPr>
        <w:t>Deutsche Fachgesellschafts-Leitlinie; direkte Implementierbarkeit in Zertifizierungsprozesse und klinische Routine.</w:t>
      </w:r>
    </w:p>
    <w:p>
      <w:r>
        <w:rPr>
          <w:color w:val="5A7D3A"/>
          <w:sz w:val="18"/>
        </w:rPr>
        <w:t>https://pubmed.ncbi.nlm.nih.gov/42714572/</w:t>
      </w:r>
    </w:p>
    <w:p>
      <w:pPr>
        <w:pStyle w:val="Heading2"/>
      </w:pPr>
      <w:r>
        <w:t>Pembrolizumab-Olaparib verbessert Progression-Free Survival bei BRCA-wildtyp-Ovarialkarzinom um 29%</w:t>
      </w:r>
    </w:p>
    <w:p>
      <w:r>
        <w:rPr>
          <w:i/>
          <w:color w:val="666666"/>
          <w:sz w:val="18"/>
        </w:rPr>
        <w:t>Vergote I et al.  ·  Lancet Oncol  ·  07.09.2026  ·  PMID 42705254</w:t>
      </w:r>
    </w:p>
    <w:p>
      <w:r>
        <w:t>Eine internationale Phase-3-Studie (ENGOT-OV43) untersuchte Pembrolizumab plus Chemotherapie gefolgt von Pembrolizumab-Olaparib-Erhaltungstherapie versus Chemotherapie allein bei BRCA-wildtyp-fortgeschrittenem Ovarialkarzinom.</w:t>
      </w:r>
    </w:p>
    <w:p>
      <w:r>
        <w:rPr>
          <w:b/>
        </w:rPr>
        <w:t xml:space="preserve">Ergebnis: </w:t>
      </w:r>
      <w:r>
        <w:t>Pembrolizumab-Olaparib zeigte signifikante Verbesserung der Progression-Free Survival gegenüber Kontrolle in der CPS≥10-Population (Hazard Ratio 0,63; p&lt;0,0001) und in der Intention-to-treat-Population (HR 0,68; p&lt;0,0001), mit Erhaltung der Effekte beim finalen Follow-up nach median 49,6 Monaten (HR 0,71). Grade ≥3 Nebenwirkungen traten bei 66% der Pembrolizumab-Olaparib-Gruppe auf.</w:t>
      </w:r>
    </w:p>
    <w:p>
      <w:r>
        <w:rPr>
          <w:b/>
          <w:sz w:val="19"/>
        </w:rPr>
        <w:t xml:space="preserve">Übertragbarkeit: </w:t>
      </w:r>
      <w:r>
        <w:rPr>
          <w:sz w:val="19"/>
        </w:rPr>
        <w:t>Europäische und globale Studie mit vergleichbarer Patientenselektion; Registerzulassung und AMNOG-Bewertung folgen regulärem Prozess in Deutschland.</w:t>
      </w:r>
    </w:p>
    <w:p>
      <w:r>
        <w:rPr>
          <w:color w:val="5A7D3A"/>
          <w:sz w:val="18"/>
        </w:rPr>
        <w:t>https://pubmed.ncbi.nlm.nih.gov/42705254/</w:t>
      </w:r>
    </w:p>
    <w:p>
      <w:pPr>
        <w:pStyle w:val="Heading2"/>
      </w:pPr>
      <w:r>
        <w:t>snoRNA-abgeleitete RNAs steuern Stress-Resilienz in AML und erlauben Risikoschichtung</w:t>
      </w:r>
    </w:p>
    <w:p>
      <w:r>
        <w:rPr>
          <w:i/>
          <w:color w:val="666666"/>
          <w:sz w:val="18"/>
        </w:rPr>
        <w:t>Zinz R et al.  ·  Leukemia  ·  04.09.2026  ·  PMID 42697931</w:t>
      </w:r>
    </w:p>
    <w:p>
      <w:r>
        <w:t>Eine mechanistische Grundlagenstudie identifiziert snoRNA-abgeleitete RNAs (sdRNAs) als regulatorische Moleküle in akuter myeloischer Leukämie; hohe sd3'-RNA/snoRNA-Verhältnisse prognostizieren ungünstige Outcomes und könnten therapeutische Angriffspunkte darstellen.</w:t>
      </w:r>
    </w:p>
    <w:p>
      <w:r>
        <w:rPr>
          <w:b/>
        </w:rPr>
        <w:t xml:space="preserve">Ergebnis: </w:t>
      </w:r>
      <w:r>
        <w:t>Hochgradig sd3'-RNA-Verhältnisse waren mit inversem Patientenoutcome assoziiert. Insbesondere bei NPM1-mutierten Patienten mit günstiger Risikoklassifikation identifizierte ein hohes sd3'-RNA-Verhältnis eine Subgruppe mit inferiorem Ergebnis. Erzwungene Expression einzelner sdRNAs (sd3'-SNORD78, sd3'-SNORD76, sd5'-SNORD93) verstärkte die klonogene Potenz in AML-Zelllinien und primären HSPCs. NUDT21 wurde als nachgelagertes Ziel von sd3'-SNORD78 charakterisiert.</w:t>
      </w:r>
    </w:p>
    <w:p>
      <w:r>
        <w:rPr>
          <w:b/>
          <w:sz w:val="19"/>
        </w:rPr>
        <w:t xml:space="preserve">Übertragbarkeit: </w:t>
      </w:r>
      <w:r>
        <w:rPr>
          <w:sz w:val="19"/>
        </w:rPr>
        <w:t>Deutsche Multizenterstudie (Heidelberg, Kiel, Dresden, Frankfurt); Mechanismus öffnet Wege zu klinischen Interventionen in der AML-Stratifikation.</w:t>
      </w:r>
    </w:p>
    <w:p>
      <w:r>
        <w:rPr>
          <w:color w:val="5A7D3A"/>
          <w:sz w:val="18"/>
        </w:rPr>
        <w:t>https://pubmed.ncbi.nlm.nih.gov/42697931/</w:t>
      </w:r>
    </w:p>
    <w:p>
      <w:pPr>
        <w:pStyle w:val="Heading2"/>
      </w:pPr>
      <w:r>
        <w:t>Genomische Profilierung erhöht Progression-Free Survival beim Karzinom unbekannten Primärtumors um 38%</w:t>
      </w:r>
    </w:p>
    <w:p>
      <w:r>
        <w:rPr>
          <w:i/>
          <w:color w:val="666666"/>
          <w:sz w:val="18"/>
        </w:rPr>
        <w:t>Krämer A et al.  ·  J Clin Oncol  ·  03.09.2026  ·  PMID 42691436</w:t>
      </w:r>
    </w:p>
    <w:p>
      <w:r>
        <w:t>Die CUPISCO-Studie vergleicht molekular geführte Therapie basierend auf umfassender genomischer Profilierung mit Standardchemotherapie bei Patienten mit ungünstigem Karzinom unbekannten Primärtumors nach Initial-Chemotherapie-Ansprechen.</w:t>
      </w:r>
    </w:p>
    <w:p>
      <w:r>
        <w:rPr>
          <w:b/>
        </w:rPr>
        <w:t xml:space="preserve">Ergebnis: </w:t>
      </w:r>
      <w:r>
        <w:t>Molekular geführte Therapie (n=326) versus fortgesetzte Chemotherapie (n=110): mediane Progression-Free Survival 6,1 Monate (95%-KI 4,7–6,5) versus 4,4 Monate (KI 4,2–6,4; HR 0,75; p=0,017). Medianes Gesamtüberleben 15,2 Monate (KI 13,9–18,4) versus 12,8 Monate (KI 9,8–15,4; HR 0,79; p=0,069) nach &gt;3 Jahren Follow-up.</w:t>
      </w:r>
    </w:p>
    <w:p>
      <w:r>
        <w:rPr>
          <w:b/>
          <w:sz w:val="19"/>
        </w:rPr>
        <w:t xml:space="preserve">Übertragbarkeit: </w:t>
      </w:r>
      <w:r>
        <w:rPr>
          <w:sz w:val="19"/>
        </w:rPr>
        <w:t>Deutschlandweite Zentren beteiligt; Molekular-Tumorboard-Ansatz etabliert in deutschen Krebszentren.</w:t>
      </w:r>
    </w:p>
    <w:p>
      <w:r>
        <w:rPr>
          <w:color w:val="5A7D3A"/>
          <w:sz w:val="18"/>
        </w:rPr>
        <w:t>https://pubmed.ncbi.nlm.nih.gov/42691436/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Onkologie</dc:title>
  <dc:subject/>
  <dc:creator>Monitor Versorgungsforschung</dc:creator>
  <cp:keywords/>
  <dc:description>generated by python-docx</dc:description>
  <cp:lastModifiedBy/>
  <cp:revision>1</cp:revision>
  <dcterms:created xsi:type="dcterms:W3CDTF">2026-10-17T06:00:00Z</dcterms:created>
  <dcterms:modified xsi:type="dcterms:W3CDTF">2026-10-17T06:00:00Z</dcterms:modified>
  <cp:category/>
</cp:coreProperties>
</file>