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30.10.2026  |  6 Studien  |  onkologie.m-vf.de</w:t>
      </w:r>
    </w:p>
    <w:p>
      <w:pPr>
        <w:pStyle w:val="Heading1"/>
      </w:pPr>
      <w:r>
        <w:t>Aufgenommen am 30.10.2026</w:t>
      </w:r>
    </w:p>
    <w:p>
      <w:pPr>
        <w:pStyle w:val="Heading2"/>
      </w:pPr>
      <w:r>
        <w:t>Pazopanib alternierend mit Bevacizumab: PFS 24,8 Monate in Nierenzellkarzinom-Studie</w:t>
      </w:r>
    </w:p>
    <w:p>
      <w:r>
        <w:rPr>
          <w:i/>
          <w:color w:val="666666"/>
          <w:sz w:val="18"/>
        </w:rPr>
        <w:t>George S et al.  ·  Lancet Oncol  ·  27.10.2026  ·  PMID 42945979</w:t>
      </w:r>
    </w:p>
    <w:p>
      <w:r>
        <w:t>Phase-1/2-Studie (USA, 5 Zentren) zu alternierend verabreichtem Pazopanib (800 mg täglich) und Bevacizumab (10 mg/kg) in 10-Wochen-Zyklen bei therapienaiven Patienten mit metastasiertem klarzelligen Nierenzellkarzinom; Phase 2 mit 51 evaluierbaren Patienten (94 % Kaukasier, 65 % günstiges Risiko).</w:t>
      </w:r>
    </w:p>
    <w:p>
      <w:r>
        <w:rPr>
          <w:b/>
        </w:rPr>
        <w:t xml:space="preserve">Ergebnis: </w:t>
      </w:r>
      <w:r>
        <w:t>Medianes PFS 24,8 Monate (95%-KI 17,2–34,3). Häufigste Grad-3/4-AE: Hypertonie (34 %), erhöhte Transaminasen (12–17 %). 8 % der Patienten beendeten die Studie wegen behandlungsbedingt schwerwiegender AE, keine Todesfälle. Das Regime zeigt vielversprechende antitumorale Aktivität in der günstigen-Risiko-Gruppe.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Single-Arm Phase-2-Design; Phase-3-Daten für Validierung erforderlich</w:t>
      </w:r>
    </w:p>
    <w:p>
      <w:r>
        <w:rPr>
          <w:color w:val="5A7D3A"/>
          <w:sz w:val="18"/>
        </w:rPr>
        <w:t>https://pubmed.ncbi.nlm.nih.gov/42945979/</w:t>
      </w:r>
    </w:p>
    <w:p>
      <w:pPr>
        <w:pStyle w:val="Heading2"/>
      </w:pPr>
      <w:r>
        <w:t>Perioperatives PD-1-Checkpoint-Inhibitor verkürzt Rezidivrisiko um 48% bei resektablem NSCLC</w:t>
      </w:r>
    </w:p>
    <w:p>
      <w:r>
        <w:rPr>
          <w:i/>
          <w:color w:val="666666"/>
          <w:sz w:val="18"/>
        </w:rPr>
        <w:t>Li ZM et al.  ·  Ann Oncol  ·  31.12.2026  ·  PMID 42933639</w:t>
      </w:r>
    </w:p>
    <w:p>
      <w:r>
        <w:t>Chinesische Phase-III-Studie (501 Patienten) zu neoadjuvantem/adjuvantem Toripalimab (PD-1-Inhibitor) plus Chemotherapie versus Placebo bei resektablem Stadium-II/III-NSCLC mit 48,2-Monaten medianer Nachbeobachtung.</w:t>
      </w:r>
    </w:p>
    <w:p>
      <w:r>
        <w:rPr>
          <w:b/>
        </w:rPr>
        <w:t xml:space="preserve">Ergebnis: </w:t>
      </w:r>
      <w:r>
        <w:t>Investigator-assessiertes EFS: stratifiziertes HR 0,52 (95%-KI 0,39–0,68, p&lt;0,0001); medianes EFS nicht erreicht vs. 20,2 Monate Placebo. Major-Pathologic-Response-Rate 47 % vs. 9 % (p&lt;0,0001). OS-Hazard-Ratio 0,66 (p=0,0072), mediales OS in beiden Armen nicht erreicht. Sicherheitsprofil konsistent, keine neuen 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Hochvolumen-Zentren; Perioperative Immunchemotherapie bei resektablem NSCLC etabliert</w:t>
      </w:r>
    </w:p>
    <w:p>
      <w:r>
        <w:rPr>
          <w:color w:val="5A7D3A"/>
          <w:sz w:val="18"/>
        </w:rPr>
        <w:t>https://pubmed.ncbi.nlm.nih.gov/42933639/</w:t>
      </w:r>
    </w:p>
    <w:p>
      <w:pPr>
        <w:pStyle w:val="Heading2"/>
      </w:pPr>
      <w:r>
        <w:t>Neoadjuvanter Immune Checkpoint Inhibitor verlängert krankheitsfreies Überleben bei kutanem Plattenepithelkarzinom</w:t>
      </w:r>
    </w:p>
    <w:p>
      <w:r>
        <w:rPr>
          <w:i/>
          <w:color w:val="666666"/>
          <w:sz w:val="18"/>
        </w:rPr>
        <w:t>Gross ND et al.  ·  J Clin Oncol  ·  24.10.2026  ·  PMID 42921711</w:t>
      </w:r>
    </w:p>
    <w:p>
      <w:r>
        <w:t>Multicenter-Phase-II-Studie zu neoadjuvantem Cemiplimab (PD-1-Inhibitor) vor Operation bei resektablem kutanem Plattenepithelkarzinom Stadium II–IV mit 81 Patienten und 54 Monaten Follow-up.</w:t>
      </w:r>
    </w:p>
    <w:p>
      <w:r>
        <w:rPr>
          <w:b/>
        </w:rPr>
        <w:t xml:space="preserve">Ergebnis: </w:t>
      </w:r>
      <w:r>
        <w:t>54-Monats-EFS 76,2 % (bei 40 Patienten mit pathologischer Komplettremission: 81,5 %, ohne Rezidive). Geschätztes 54-Monats-OS 79,4 %. Keine neuen Grad-≥3-Nebenwirkungen. Die neoadjuvante Behandlung führt zu dauerhaften Remissionen ohne späte Rezidive oder neue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vergleichbare hochspezialisierte Zentrumsstruktur erforderlich</w:t>
      </w:r>
    </w:p>
    <w:p>
      <w:r>
        <w:rPr>
          <w:color w:val="5A7D3A"/>
          <w:sz w:val="18"/>
        </w:rPr>
        <w:t>https://pubmed.ncbi.nlm.nih.gov/42921711/</w:t>
      </w:r>
    </w:p>
    <w:p>
      <w:pPr>
        <w:pStyle w:val="Heading2"/>
      </w:pPr>
      <w:r>
        <w:t>Hochdosis-Chemotherapie für Hodentumor-Salvage: OS 36,4 Monate in Europastudie</w:t>
      </w:r>
    </w:p>
    <w:p>
      <w:r>
        <w:rPr>
          <w:i/>
          <w:color w:val="666666"/>
          <w:sz w:val="18"/>
        </w:rPr>
        <w:t>Tateo V et al.  ·  ESMO Open  ·  15.09.2026  ·  PMID 42914497</w:t>
      </w:r>
    </w:p>
    <w:p>
      <w:r>
        <w:t>Analyse von 2204 Keimzelltumor-Patienten aus dem EBMT-Register, die zwischen 2000 und 2022 Hochdosis-Carboplatin/Etoposid erhielten, mit Fokus auf Timing und Salvage-Linie (3–6, 6–12, &gt;12 Monate nach Diagnose).</w:t>
      </w:r>
    </w:p>
    <w:p>
      <w:r>
        <w:rPr>
          <w:b/>
        </w:rPr>
        <w:t xml:space="preserve">Ergebnis: </w:t>
      </w:r>
      <w:r>
        <w:t>Medianes OS 36,4 Monate, medianes PFS 9,9 Monate. Längeres Zeitintervall bis zur HD-CT war mit erhöhtem Hazard für Progression und Tod assoziiert. In nicht-hochrisiko-Patienten signifikante Interaktion zwischen Timing und OS (p=0,04), deutend auf nichtlineare Beziehung.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Register, deutschsprachige Zentren vertreten, direkt übertragbar</w:t>
      </w:r>
    </w:p>
    <w:p>
      <w:r>
        <w:rPr>
          <w:color w:val="5A7D3A"/>
          <w:sz w:val="18"/>
        </w:rPr>
        <w:t>https://pubmed.ncbi.nlm.nih.gov/42914497/</w:t>
      </w:r>
    </w:p>
    <w:p>
      <w:pPr>
        <w:pStyle w:val="Heading2"/>
      </w:pPr>
      <w:r>
        <w:t>Multiomic-Analyse enthüllt Targetable Pathways in MSS-Kolorektalkarzinom</w:t>
      </w:r>
    </w:p>
    <w:p>
      <w:r>
        <w:rPr>
          <w:i/>
          <w:color w:val="666666"/>
          <w:sz w:val="18"/>
        </w:rPr>
        <w:t>Sadanandam A et al.  ·  Cancer Cell  ·  22.10.2026  ·  PMID 42913633</w:t>
      </w:r>
    </w:p>
    <w:p>
      <w:r>
        <w:t>Integrative Multiomic-Analyse (Genomik, Transkriptomik, Proteomik) von ~2000 Tumoren inkl. 316 MSS-Kolorektalkarzinomen mit funktionaler Validierung in Patient-Derived-Tumoreoid und Xenograft-Modellen.</w:t>
      </w:r>
    </w:p>
    <w:p>
      <w:r>
        <w:rPr>
          <w:b/>
        </w:rPr>
        <w:t xml:space="preserve">Ergebnis: </w:t>
      </w:r>
      <w:r>
        <w:t>Identifikation komplexer molekularer Programme (Replikationsstress, Glutaminolyse, MYC-E2F-Netzwerke) in RAS-mutanten MSS-CRC; FAK-, PDK1/2- und Proteasom-Inhibition plus MEK-Blockade zeigen synergistische Effekte in funktionalen Modellen. Diese Kombinationen könnten Behandlungsoptionen für MSS-CRC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Präklinische Validierung; Weg zur Klinik noch offen, wird durch Multiomic-Integration angebahnt</w:t>
      </w:r>
    </w:p>
    <w:p>
      <w:r>
        <w:rPr>
          <w:color w:val="5A7D3A"/>
          <w:sz w:val="18"/>
        </w:rPr>
        <w:t>https://pubmed.ncbi.nlm.nih.gov/42913633/</w:t>
      </w:r>
    </w:p>
    <w:p>
      <w:pPr>
        <w:pStyle w:val="Heading2"/>
      </w:pPr>
      <w:r>
        <w:t>ESCAT v2: Neuer Standard für Bewertung von Biomarkern in Präzisionsmedizin</w:t>
      </w:r>
    </w:p>
    <w:p>
      <w:r>
        <w:rPr>
          <w:i/>
          <w:color w:val="666666"/>
          <w:sz w:val="18"/>
        </w:rPr>
        <w:t>El Helali A et al.  ·  Ann Oncol  ·  21.10.2026  ·  PMID 42906778</w:t>
      </w:r>
    </w:p>
    <w:p>
      <w:r>
        <w:t>Überarbeiteter internationaler Expertenkonsens zur Klassifizierung molekularer Alterationen nach Aktivierbarkeit und Resistenzpotenzial, mit neuer Uncertain-Graduierung, Tumor-Agnostiker-Kriterien und formaler Resistenz-Skala.</w:t>
      </w:r>
    </w:p>
    <w:p>
      <w:r>
        <w:rPr>
          <w:b/>
        </w:rPr>
        <w:t xml:space="preserve">Ergebnis: </w:t>
      </w:r>
      <w:r>
        <w:t>ESCAT v2 strukturiert Tier I in ‚proven', ‚inferred', ‚extrapolated'; Tier II in drei Evidenzstufen; neuer Tier X mit Subkategorien für getestete inaktive und ineffektive Matches. Vier-Level-Resistenz-Skala von klinisch validiert bis präklinisch. Framework ermöglicht nuanciertere Kommunikation zwischen Klinikern, Patienten und Regulierern.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ESMO-Leitlinie, europäischer Standard, direkt für deutsche Tumorkonferenzen und Molekulare Tumorboards anwendbar</w:t>
      </w:r>
    </w:p>
    <w:p>
      <w:r>
        <w:rPr>
          <w:color w:val="5A7D3A"/>
          <w:sz w:val="18"/>
        </w:rPr>
        <w:t>https://pubmed.ncbi.nlm.nih.gov/42906778/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2026-10-30T06:00:00Z</dcterms:created>
  <dcterms:modified xsi:type="dcterms:W3CDTF">2026-10-30T06:00:00Z</dcterms:modified>
  <cp:category/>
</cp:coreProperties>
</file>