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30.10.2026  |  307 Studien  |  onkologie.m-vf.de</w:t>
      </w:r>
    </w:p>
    <w:p>
      <w:pPr>
        <w:pStyle w:val="Heading1"/>
      </w:pPr>
      <w:r>
        <w:t>Aufgenommen am 30.10.2026</w:t>
      </w:r>
    </w:p>
    <w:p>
      <w:pPr>
        <w:pStyle w:val="Heading2"/>
      </w:pPr>
      <w:r>
        <w:t>Pazopanib alternierend mit Bevacizumab: PFS 24,8 Monate in Nierenzellkarzinom-Studie</w:t>
      </w:r>
    </w:p>
    <w:p>
      <w:r>
        <w:rPr>
          <w:i/>
          <w:color w:val="666666"/>
          <w:sz w:val="18"/>
        </w:rPr>
        <w:t>George S et al.  ·  Lancet Oncol  ·  27.10.2026  ·  PMID 42945979</w:t>
      </w:r>
    </w:p>
    <w:p>
      <w:r>
        <w:t>Phase-1/2-Studie (USA, 5 Zentren) zu alternierend verabreichtem Pazopanib (800 mg täglich) und Bevacizumab (10 mg/kg) in 10-Wochen-Zyklen bei therapienaiven Patienten mit metastasiertem klarzelligen Nierenzellkarzinom; Phase 2 mit 51 evaluierbaren Patienten (94 % Kaukasier, 65 % günstiges Risiko).</w:t>
      </w:r>
    </w:p>
    <w:p>
      <w:r>
        <w:rPr>
          <w:b/>
        </w:rPr>
        <w:t xml:space="preserve">Ergebnis: </w:t>
      </w:r>
      <w:r>
        <w:t>Medianes PFS 24,8 Monate (95%-KI 17,2–34,3). Häufigste Grad-3/4-AE: Hypertonie (34 %), erhöhte Transaminasen (12–17 %). 8 % der Patienten beendeten die Studie wegen behandlungsbedingt schwerwiegender AE, keine Todesfälle. Das Regime zeigt vielversprechende antitumorale Aktivität in der günstigen-Risiko-Gruppe.</w:t>
      </w:r>
    </w:p>
    <w:p>
      <w:r>
        <w:rPr>
          <w:b/>
          <w:sz w:val="19"/>
        </w:rPr>
        <w:t xml:space="preserve">Übertragbarkeit: </w:t>
      </w:r>
      <w:r>
        <w:rPr>
          <w:sz w:val="19"/>
        </w:rPr>
        <w:t>USA, Single-Arm Phase-2-Design; Phase-3-Daten für Validierung erforderlich</w:t>
      </w:r>
    </w:p>
    <w:p>
      <w:r>
        <w:rPr>
          <w:color w:val="5A7D3A"/>
          <w:sz w:val="18"/>
        </w:rPr>
        <w:t>https://pubmed.ncbi.nlm.nih.gov/42945979/</w:t>
      </w:r>
    </w:p>
    <w:p>
      <w:pPr>
        <w:pStyle w:val="Heading2"/>
      </w:pPr>
      <w:r>
        <w:t>Perioperatives PD-1-Checkpoint-Inhibitor verkürzt Rezidivrisiko um 48% bei resektablem NSCLC</w:t>
      </w:r>
    </w:p>
    <w:p>
      <w:r>
        <w:rPr>
          <w:i/>
          <w:color w:val="666666"/>
          <w:sz w:val="18"/>
        </w:rPr>
        <w:t>Li ZM et al.  ·  Ann Oncol  ·  31.12.2026  ·  PMID 42933639</w:t>
      </w:r>
    </w:p>
    <w:p>
      <w:r>
        <w:t>Chinesische Phase-III-Studie (501 Patienten) zu neoadjuvantem/adjuvantem Toripalimab (PD-1-Inhibitor) plus Chemotherapie versus Placebo bei resektablem Stadium-II/III-NSCLC mit 48,2-Monaten medianer Nachbeobachtung.</w:t>
      </w:r>
    </w:p>
    <w:p>
      <w:r>
        <w:rPr>
          <w:b/>
        </w:rPr>
        <w:t xml:space="preserve">Ergebnis: </w:t>
      </w:r>
      <w:r>
        <w:t>Investigator-assessiertes EFS: stratifiziertes HR 0,52 (95%-KI 0,39–0,68, p&lt;0,0001); medianes EFS nicht erreicht vs. 20,2 Monate Placebo. Major-Pathologic-Response-Rate 47 % vs. 9 % (p&lt;0,0001). OS-Hazard-Ratio 0,66 (p=0,0072), mediales OS in beiden Armen nicht erreicht. Sicherheitsprofil konsistent, keine neuen Signale.</w:t>
      </w:r>
    </w:p>
    <w:p>
      <w:r>
        <w:rPr>
          <w:b/>
          <w:sz w:val="19"/>
        </w:rPr>
        <w:t xml:space="preserve">Übertragbarkeit: </w:t>
      </w:r>
      <w:r>
        <w:rPr>
          <w:sz w:val="19"/>
        </w:rPr>
        <w:t>China, vergleichbare Hochvolumen-Zentren; Perioperative Immunchemotherapie bei resektablem NSCLC etabliert</w:t>
      </w:r>
    </w:p>
    <w:p>
      <w:r>
        <w:rPr>
          <w:color w:val="5A7D3A"/>
          <w:sz w:val="18"/>
        </w:rPr>
        <w:t>https://pubmed.ncbi.nlm.nih.gov/42933639/</w:t>
      </w:r>
    </w:p>
    <w:p>
      <w:pPr>
        <w:pStyle w:val="Heading2"/>
      </w:pPr>
      <w:r>
        <w:t>Neoadjuvanter Immune Checkpoint Inhibitor verlängert krankheitsfreies Überleben bei kutanem Plattenepithelkarzinom</w:t>
      </w:r>
    </w:p>
    <w:p>
      <w:r>
        <w:rPr>
          <w:i/>
          <w:color w:val="666666"/>
          <w:sz w:val="18"/>
        </w:rPr>
        <w:t>Gross ND et al.  ·  J Clin Oncol  ·  24.10.2026  ·  PMID 42921711</w:t>
      </w:r>
    </w:p>
    <w:p>
      <w:r>
        <w:t>Multicenter-Phase-II-Studie zu neoadjuvantem Cemiplimab (PD-1-Inhibitor) vor Operation bei resektablem kutanem Plattenepithelkarzinom Stadium II–IV mit 81 Patienten und 54 Monaten Follow-up.</w:t>
      </w:r>
    </w:p>
    <w:p>
      <w:r>
        <w:rPr>
          <w:b/>
        </w:rPr>
        <w:t xml:space="preserve">Ergebnis: </w:t>
      </w:r>
      <w:r>
        <w:t>54-Monats-EFS 76,2 % (bei 40 Patienten mit pathologischer Komplettremission: 81,5 %, ohne Rezidive). Geschätztes 54-Monats-OS 79,4 %. Keine neuen Grad-≥3-Nebenwirkungen. Die neoadjuvante Behandlung führt zu dauerhaften Remissionen ohne späte Rezidive oder neue Sicherheitssignale.</w:t>
      </w:r>
    </w:p>
    <w:p>
      <w:r>
        <w:rPr>
          <w:b/>
          <w:sz w:val="19"/>
        </w:rPr>
        <w:t xml:space="preserve">Übertragbarkeit: </w:t>
      </w:r>
      <w:r>
        <w:rPr>
          <w:sz w:val="19"/>
        </w:rPr>
        <w:t>Internationale Studie, vergleichbare hochspezialisierte Zentrumsstruktur erforderlich</w:t>
      </w:r>
    </w:p>
    <w:p>
      <w:r>
        <w:rPr>
          <w:color w:val="5A7D3A"/>
          <w:sz w:val="18"/>
        </w:rPr>
        <w:t>https://pubmed.ncbi.nlm.nih.gov/42921711/</w:t>
      </w:r>
    </w:p>
    <w:p>
      <w:pPr>
        <w:pStyle w:val="Heading2"/>
      </w:pPr>
      <w:r>
        <w:t>Hochdosis-Chemotherapie für Hodentumor-Salvage: OS 36,4 Monate in Europastudie</w:t>
      </w:r>
    </w:p>
    <w:p>
      <w:r>
        <w:rPr>
          <w:i/>
          <w:color w:val="666666"/>
          <w:sz w:val="18"/>
        </w:rPr>
        <w:t>Tateo V et al.  ·  ESMO Open  ·  15.09.2026  ·  PMID 42914497</w:t>
      </w:r>
    </w:p>
    <w:p>
      <w:r>
        <w:t>Analyse von 2204 Keimzelltumor-Patienten aus dem EBMT-Register, die zwischen 2000 und 2022 Hochdosis-Carboplatin/Etoposid erhielten, mit Fokus auf Timing und Salvage-Linie (3–6, 6–12, &gt;12 Monate nach Diagnose).</w:t>
      </w:r>
    </w:p>
    <w:p>
      <w:r>
        <w:rPr>
          <w:b/>
        </w:rPr>
        <w:t xml:space="preserve">Ergebnis: </w:t>
      </w:r>
      <w:r>
        <w:t>Medianes OS 36,4 Monate, medianes PFS 9,9 Monate. Längeres Zeitintervall bis zur HD-CT war mit erhöhtem Hazard für Progression und Tod assoziiert. In nicht-hochrisiko-Patienten signifikante Interaktion zwischen Timing und OS (p=0,04), deutend auf nichtlineare Beziehung.</w:t>
      </w:r>
    </w:p>
    <w:p>
      <w:r>
        <w:rPr>
          <w:b/>
          <w:sz w:val="19"/>
        </w:rPr>
        <w:t xml:space="preserve">Übertragbarkeit: </w:t>
      </w:r>
      <w:r>
        <w:rPr>
          <w:sz w:val="19"/>
        </w:rPr>
        <w:t>Europäisches Register, deutschsprachige Zentren vertreten, direkt übertragbar</w:t>
      </w:r>
    </w:p>
    <w:p>
      <w:r>
        <w:rPr>
          <w:color w:val="5A7D3A"/>
          <w:sz w:val="18"/>
        </w:rPr>
        <w:t>https://pubmed.ncbi.nlm.nih.gov/42914497/</w:t>
      </w:r>
    </w:p>
    <w:p>
      <w:pPr>
        <w:pStyle w:val="Heading2"/>
      </w:pPr>
      <w:r>
        <w:t>Multiomic-Analyse enthüllt Targetable Pathways in MSS-Kolorektalkarzinom</w:t>
      </w:r>
    </w:p>
    <w:p>
      <w:r>
        <w:rPr>
          <w:i/>
          <w:color w:val="666666"/>
          <w:sz w:val="18"/>
        </w:rPr>
        <w:t>Sadanandam A et al.  ·  Cancer Cell  ·  22.10.2026  ·  PMID 42913633</w:t>
      </w:r>
    </w:p>
    <w:p>
      <w:r>
        <w:t>Integrative Multiomic-Analyse (Genomik, Transkriptomik, Proteomik) von ~2000 Tumoren inkl. 316 MSS-Kolorektalkarzinomen mit funktionaler Validierung in Patient-Derived-Tumoreoid und Xenograft-Modellen.</w:t>
      </w:r>
    </w:p>
    <w:p>
      <w:r>
        <w:rPr>
          <w:b/>
        </w:rPr>
        <w:t xml:space="preserve">Ergebnis: </w:t>
      </w:r>
      <w:r>
        <w:t>Identifikation komplexer molekularer Programme (Replikationsstress, Glutaminolyse, MYC-E2F-Netzwerke) in RAS-mutanten MSS-CRC; FAK-, PDK1/2- und Proteasom-Inhibition plus MEK-Blockade zeigen synergistische Effekte in funktionalen Modellen. Diese Kombinationen könnten Behandlungsoptionen für MSS-CRC verbessern.</w:t>
      </w:r>
    </w:p>
    <w:p>
      <w:r>
        <w:rPr>
          <w:b/>
          <w:sz w:val="19"/>
        </w:rPr>
        <w:t xml:space="preserve">Übertragbarkeit: </w:t>
      </w:r>
      <w:r>
        <w:rPr>
          <w:sz w:val="19"/>
        </w:rPr>
        <w:t>Präklinische Validierung; Weg zur Klinik noch offen, wird durch Multiomic-Integration angebahnt</w:t>
      </w:r>
    </w:p>
    <w:p>
      <w:r>
        <w:rPr>
          <w:color w:val="5A7D3A"/>
          <w:sz w:val="18"/>
        </w:rPr>
        <w:t>https://pubmed.ncbi.nlm.nih.gov/42913633/</w:t>
      </w:r>
    </w:p>
    <w:p>
      <w:pPr>
        <w:pStyle w:val="Heading2"/>
      </w:pPr>
      <w:r>
        <w:t>ESCAT v2: Neuer Standard für Bewertung von Biomarkern in Präzisionsmedizin</w:t>
      </w:r>
    </w:p>
    <w:p>
      <w:r>
        <w:rPr>
          <w:i/>
          <w:color w:val="666666"/>
          <w:sz w:val="18"/>
        </w:rPr>
        <w:t>El Helali A et al.  ·  Ann Oncol  ·  21.10.2026  ·  PMID 42906778</w:t>
      </w:r>
    </w:p>
    <w:p>
      <w:r>
        <w:t>Überarbeiteter internationaler Expertenkonsens zur Klassifizierung molekularer Alterationen nach Aktivierbarkeit und Resistenzpotenzial, mit neuer Uncertain-Graduierung, Tumor-Agnostiker-Kriterien und formaler Resistenz-Skala.</w:t>
      </w:r>
    </w:p>
    <w:p>
      <w:r>
        <w:rPr>
          <w:b/>
        </w:rPr>
        <w:t xml:space="preserve">Ergebnis: </w:t>
      </w:r>
      <w:r>
        <w:t>ESCAT v2 strukturiert Tier I in ‚proven', ‚inferred', ‚extrapolated'; Tier II in drei Evidenzstufen; neuer Tier X mit Subkategorien für getestete inaktive und ineffektive Matches. Vier-Level-Resistenz-Skala von klinisch validiert bis präklinisch. Framework ermöglicht nuanciertere Kommunikation zwischen Klinikern, Patienten und Regulierern.</w:t>
      </w:r>
    </w:p>
    <w:p>
      <w:r>
        <w:rPr>
          <w:b/>
          <w:sz w:val="19"/>
        </w:rPr>
        <w:t xml:space="preserve">Übertragbarkeit: </w:t>
      </w:r>
      <w:r>
        <w:rPr>
          <w:sz w:val="19"/>
        </w:rPr>
        <w:t>ESMO-Leitlinie, europäischer Standard, direkt für deutsche Tumorkonferenzen und Molekulare Tumorboards anwendbar</w:t>
      </w:r>
    </w:p>
    <w:p>
      <w:r>
        <w:rPr>
          <w:color w:val="5A7D3A"/>
          <w:sz w:val="18"/>
        </w:rPr>
        <w:t>https://pubmed.ncbi.nlm.nih.gov/42906778/</w:t>
      </w:r>
    </w:p>
    <w:p>
      <w:pPr>
        <w:pStyle w:val="Heading1"/>
      </w:pPr>
      <w:r>
        <w:t>Aufgenommen am 29.10.2026</w:t>
      </w:r>
    </w:p>
    <w:p>
      <w:pPr>
        <w:pStyle w:val="Heading2"/>
      </w:pPr>
      <w:r>
        <w:t>ctDNA und CTC bei Prostatakarzinom: Prognostischer Nutzen unter PARP-Inhibition</w:t>
      </w:r>
    </w:p>
    <w:p>
      <w:r>
        <w:rPr>
          <w:i/>
          <w:color w:val="666666"/>
          <w:sz w:val="18"/>
        </w:rPr>
        <w:t>Yip SM et al.  ·  Lancet Oncol  ·  28.10.2026  ·  PMID 42950862</w:t>
      </w:r>
    </w:p>
    <w:p>
      <w:r>
        <w:t>Analyse des TALAPRO-2-Trials zur prognostischen und prädiktiven Wertigkeit von zirkulierender Tumor-DNA und Tumor-Zellen bei 805 Patienten mit metastasiertem kastrationsresistentem Prostatakarzinom unter Talazoparib plus Enzalutamid versus Placebo plus Enzalutamid.</w:t>
      </w:r>
    </w:p>
    <w:p>
      <w:r>
        <w:rPr>
          <w:b/>
        </w:rPr>
        <w:t xml:space="preserve">Ergebnis: </w:t>
      </w:r>
      <w:r>
        <w:t>84% Konkordanz der HRR-Alteration zwischen Gewebeprobe und ctDNA. Basale ctDNA-Positivität war prognostisch für schlechteres Progressions-freies Überleben (PFS): HR 2,46 [95%-KI 1,68–3,60; p&lt;0,0001] unter Talazoparib und HR 4,03 [2,85–5,72; p&lt;0,0001] unter Placebo. ctDNA-Konversion von positiv zu negativ in Woche 9 war in beiden Gruppen prognostisch für verbessertes PFS. CTC-Konversion und CTC0 zeigten gleichen prognostischen Effekt. ctDNA-Last und CTC-Aufzählung sind damit als breit anwendbare prognostische Marker etabliert.</w:t>
      </w:r>
    </w:p>
    <w:p>
      <w:r>
        <w:rPr>
          <w:b/>
          <w:sz w:val="19"/>
        </w:rPr>
        <w:t xml:space="preserve">Übertragbarkeit: </w:t>
      </w:r>
      <w:r>
        <w:rPr>
          <w:sz w:val="19"/>
        </w:rPr>
        <w:t>Deutsches Gesundheitssystem, Flächentauglichkeit hängt von ctDNA-Assay-Verfügbarkeit ab.</w:t>
      </w:r>
    </w:p>
    <w:p>
      <w:r>
        <w:rPr>
          <w:color w:val="5A7D3A"/>
          <w:sz w:val="18"/>
        </w:rPr>
        <w:t>https://pubmed.ncbi.nlm.nih.gov/42950862/</w:t>
      </w:r>
    </w:p>
    <w:p>
      <w:pPr>
        <w:pStyle w:val="Heading2"/>
      </w:pPr>
      <w:r>
        <w:t>Pembrolizumab plus SBRT in frühem NSCLC: Kein Vorteil, erhöhte Toxizität</w:t>
      </w:r>
    </w:p>
    <w:p>
      <w:r>
        <w:rPr>
          <w:i/>
          <w:color w:val="666666"/>
          <w:sz w:val="18"/>
        </w:rPr>
        <w:t>Jabbour SK et al.  ·  J Clin Oncol  ·  28.10.2026  ·  PMID 42950173</w:t>
      </w:r>
    </w:p>
    <w:p>
      <w:r>
        <w:t>Randomizerter Phase-III-Trial an 448 inoperablen oder operationsablehnenden Patienten mit Stadium I–II NSCLC, die SBRT mit Pembrolizumab oder Placebo erhielten, mit Ereignisfreies-Überleben als Primärendpunkt.</w:t>
      </w:r>
    </w:p>
    <w:p>
      <w:r>
        <w:rPr>
          <w:b/>
        </w:rPr>
        <w:t xml:space="preserve">Ergebnis: </w:t>
      </w:r>
      <w:r>
        <w:t>Medianes Ereignisfreies-Überleben 31,2 Monate (Pembrolizumab) vs. 28,3 Monate (Placebo); Hazard Ratio 0,92 [95%-KI 0,69–1,24]; p=0,2932 – kein signifikanter Unterschied. Grad-3-5-Nebenwirkungen bei 20,4% unter Pembrolizumab vs. 3,7% unter Placebo. Fünf behandlungsbedingte Todesfälle (2,2%) nur in der Pembrolizumab-Gruppe. Trial wurde vorzeitig gestoppt.</w:t>
      </w:r>
    </w:p>
    <w:p>
      <w:r>
        <w:rPr>
          <w:b/>
          <w:sz w:val="19"/>
        </w:rPr>
        <w:t xml:space="preserve">Übertragbarkeit: </w:t>
      </w:r>
      <w:r>
        <w:rPr>
          <w:sz w:val="19"/>
        </w:rPr>
        <w:t>Europäische und deutsche Zentren beteiligt, SBRT-Verfahren in Deutschland etabliert; negatives Ergebnis ist praxisrelevant.</w:t>
      </w:r>
    </w:p>
    <w:p>
      <w:r>
        <w:rPr>
          <w:color w:val="5A7D3A"/>
          <w:sz w:val="18"/>
        </w:rPr>
        <w:t>https://pubmed.ncbi.nlm.nih.gov/42950173/</w:t>
      </w:r>
    </w:p>
    <w:p>
      <w:pPr>
        <w:pStyle w:val="Heading2"/>
      </w:pPr>
      <w:r>
        <w:t>Neuroendokrine Differenzierung als Escape-Mechanismus bei HER2+ Brustkrebs</w:t>
      </w:r>
    </w:p>
    <w:p>
      <w:r>
        <w:rPr>
          <w:i/>
          <w:color w:val="666666"/>
          <w:sz w:val="18"/>
        </w:rPr>
        <w:t>Würth R et al.  ·  Cancer Discov  ·  28.10.2026  ·  PMID 42949420</w:t>
      </w:r>
    </w:p>
    <w:p>
      <w:r>
        <w:t>Grundlagenforschung mit klinischer Implikation: Analyse von 22% der Fälle mit Therapieversagen unter HER2-Therapie, in denen neuroendokrine Differenzierung (NED) auftrat oder zunahm, überwiegend bei HER2-positivem Typ; Identifikation von NEUROD1 als Masterregulator und FGFR1-Abhängigkeit neuroendokriner Zellen.</w:t>
      </w:r>
    </w:p>
    <w:p>
      <w:r>
        <w:rPr>
          <w:b/>
        </w:rPr>
        <w:t xml:space="preserve">Ergebnis: </w:t>
      </w:r>
      <w:r>
        <w:t>NED führt zur EpCAM-Stummschaltung und amplifizierten HER2-Leveln. NCAM-positive Tumor-Zellen (Marker für NED) wurden bei Patienten detektiert, bei denen EpCAM-basierte Erkennung fehlgeschlagen war. FGFR1-Inhibition ist ein therapeutisches Ziel für diese Population. Der Mechanismus erklärt Resistenz gegen HER2-gerichtete Therapie und eröffnet Überwachungs- und Interventionswege.</w:t>
      </w:r>
    </w:p>
    <w:p>
      <w:r>
        <w:rPr>
          <w:b/>
          <w:sz w:val="19"/>
        </w:rPr>
        <w:t xml:space="preserve">Übertragbarkeit: </w:t>
      </w:r>
      <w:r>
        <w:rPr>
          <w:sz w:val="19"/>
        </w:rPr>
        <w:t>Deutsche Grundlagenforschung (DKFZ Heidelberg, NCT); klinische Translation noch offen.</w:t>
      </w:r>
    </w:p>
    <w:p>
      <w:r>
        <w:rPr>
          <w:color w:val="5A7D3A"/>
          <w:sz w:val="18"/>
        </w:rPr>
        <w:t>https://pubmed.ncbi.nlm.nih.gov/42949420/</w:t>
      </w:r>
    </w:p>
    <w:p>
      <w:pPr>
        <w:pStyle w:val="Heading2"/>
      </w:pPr>
      <w:r>
        <w:t>Prognostische Scores CPS+EG und Neo-Bioscore: Patientenbezogen ja, Trialendpunkt-prädiktiv nein</w:t>
      </w:r>
    </w:p>
    <w:p>
      <w:r>
        <w:rPr>
          <w:i/>
          <w:color w:val="666666"/>
          <w:sz w:val="18"/>
        </w:rPr>
        <w:t>Conforti F et al.  ·  Cancer Cell  ·  27.10.2026  ·  PMID 42945961</w:t>
      </w:r>
    </w:p>
    <w:p>
      <w:r>
        <w:t>Metaanalyse von 8.359 Patienten aus 9 neoadjuvanten Randomisierungsstudien der German Breast Group und AGO-B zur Surrogacy-Wertigkeit von CPS+EG und Neo-Bioscore für Langzeitergebnisse (DDFS, iDFS, OS).</w:t>
      </w:r>
    </w:p>
    <w:p>
      <w:r>
        <w:rPr>
          <w:b/>
        </w:rPr>
        <w:t xml:space="preserve">Ergebnis: </w:t>
      </w:r>
      <w:r>
        <w:t>Auf Patientenebene: Beide Scores signifikant assoziiert mit Ergebnissen. Auf Trial-Ebene: Schwache Assoziationen mit DDFS, iDFS und OS (R²=0,03–0,24 mit weiten Konfidenzintervallen). CPS+EG und Neo-Bioscore sind keine zuverlässigen Surrogatendpunkte für Treatmentbenefit in neoadjuvanten Trials, bleiben aber wertvoll für Restrisiko-Stratifizierung des Einzelpatienten nach neoadjuvanter Therapie.</w:t>
      </w:r>
    </w:p>
    <w:p>
      <w:r>
        <w:rPr>
          <w:b/>
          <w:sz w:val="19"/>
        </w:rPr>
        <w:t xml:space="preserve">Übertragbarkeit: </w:t>
      </w:r>
      <w:r>
        <w:rPr>
          <w:sz w:val="19"/>
        </w:rPr>
        <w:t>Deutsche und deutschsprachige Zentren (Datenquelle), Implikation für deutsches Studiendesign und Routineanwendung klar.</w:t>
      </w:r>
    </w:p>
    <w:p>
      <w:r>
        <w:rPr>
          <w:color w:val="5A7D3A"/>
          <w:sz w:val="18"/>
        </w:rPr>
        <w:t>https://pubmed.ncbi.nlm.nih.gov/42945961/</w:t>
      </w:r>
    </w:p>
    <w:p>
      <w:pPr>
        <w:pStyle w:val="Heading2"/>
      </w:pPr>
      <w:r>
        <w:t>Neoadjuvante Durvalumab + Chemotherapie in resezierbarem/grenzwertig resezierbarem NSCLC</w:t>
      </w:r>
    </w:p>
    <w:p>
      <w:r>
        <w:rPr>
          <w:i/>
          <w:color w:val="666666"/>
          <w:sz w:val="18"/>
        </w:rPr>
        <w:t>Reck M et al.  ·  Nat Med  ·  26.10.2026  ·  PMID 42934326</w:t>
      </w:r>
    </w:p>
    <w:p>
      <w:r>
        <w:t>Phase-2-Trial zur Machbarkeit eines multimodalen Ansatzes mit neoadjuvanter Durvalumab + Chemotherapie (AEGEAN-Schema) oder Chemoradiotherapie bei 142 Patienten mit resezierbarem oder grenzwertig resezierbarem Stadium-III-NSCLC, mit multidisziplinärer Tumorkonferenz-gesteuertem Ansatz.</w:t>
      </w:r>
    </w:p>
    <w:p>
      <w:r>
        <w:rPr>
          <w:b/>
        </w:rPr>
        <w:t xml:space="preserve">Ergebnis: </w:t>
      </w:r>
      <w:r>
        <w:t>Resektionsrate 74,6% [95%-KI 66,7–81,6] in Population mit &gt;33% grenzwertig resezierbarer Fälle. R0-Resektionsrate 96,2% [90,6–99,0]. 92,3% der Patienten erhielten Operation (n=106) oder CRT (n=25); 82,4% erhielten adjuvante/Konsolidierungs-Durvalumab. Während adjuvanter/Konsolidierungs-Phase: Grad-3/4-Nebenwirkungen 7,4% (Resektion) und 17,4% (CRT); Abbruch wegen Toxizität 8,5% und 13,0%. Vorläufig ermutigende Effektivität mit handhabbarem Sicherheitsprofil.</w:t>
      </w:r>
    </w:p>
    <w:p>
      <w:r>
        <w:rPr>
          <w:b/>
          <w:sz w:val="19"/>
        </w:rPr>
        <w:t xml:space="preserve">Übertragbarkeit: </w:t>
      </w:r>
      <w:r>
        <w:rPr>
          <w:sz w:val="19"/>
        </w:rPr>
        <w:t>Europa-beteiligt (Deutschland, Frankreich, Italien, Spanien, UK), deutsches Gesundheitssystem vergleichbar.</w:t>
      </w:r>
    </w:p>
    <w:p>
      <w:r>
        <w:rPr>
          <w:color w:val="5A7D3A"/>
          <w:sz w:val="18"/>
        </w:rPr>
        <w:t>https://pubmed.ncbi.nlm.nih.gov/42934326/</w:t>
      </w:r>
    </w:p>
    <w:p>
      <w:pPr>
        <w:pStyle w:val="Heading2"/>
      </w:pPr>
      <w:r>
        <w:t>Dostarlimab + Belrestotug ± Nelistotug in vorbehandeltem NSCLC: Sichere Dosis, geringe Aktivität</w:t>
      </w:r>
    </w:p>
    <w:p>
      <w:r>
        <w:rPr>
          <w:i/>
          <w:color w:val="666666"/>
          <w:sz w:val="18"/>
        </w:rPr>
        <w:t>Spigel DR et al.  ·  Clin Cancer Res  ·  26.10.2026  ·  PMID 42931848</w:t>
      </w:r>
    </w:p>
    <w:p>
      <w:r>
        <w:t>Open-label Phase-I/II-Safety-Studie zu Dostarlimab (anti-PD-1) plus Belrestotug (anti-TIGIT) ± Nelistotug (anti-CD96) in 62 vorbehandelten NSCLC-Patienten nach Progress unter anti-PD-(L)1 und Platin-Chemotherapie; primäre Endpunkte Sicherheit und Verträglichkeit.</w:t>
      </w:r>
    </w:p>
    <w:p>
      <w:r>
        <w:rPr>
          <w:b/>
        </w:rPr>
        <w:t xml:space="preserve">Ergebnis: </w:t>
      </w:r>
      <w:r>
        <w:t>Grad-≥3-Behandlungsnebenwirkungen: 17% (Arm 4 mit Belrestotug 200–1000 mg), 6% (Arm 5 mit Triplett), 14% (Arm 5-randomisiert). Wenige Abbrüche wegen Toxizität. Best Response: Progressive Erkrankung überwiegend, 1 partielle Remission (Arm 5-randomisiert, 210 mg); stabiler Zustand ≥12 Wochen bei 17–29% je nach Arm. Fazit: Gut verträglich aber keine klinisch bedeutsame Aktivität in vorbehandeltem NSCLC; weitere Forschung erforderlich.</w:t>
      </w:r>
    </w:p>
    <w:p>
      <w:r>
        <w:rPr>
          <w:b/>
          <w:sz w:val="19"/>
        </w:rPr>
        <w:t xml:space="preserve">Übertragbarkeit: </w:t>
      </w:r>
      <w:r>
        <w:rPr>
          <w:sz w:val="19"/>
        </w:rPr>
        <w:t>Internationale Studie, USA-Zentren dominant, begrenzte Übertragbarkeit auf deutsches System.</w:t>
      </w:r>
    </w:p>
    <w:p>
      <w:r>
        <w:rPr>
          <w:color w:val="5A7D3A"/>
          <w:sz w:val="18"/>
        </w:rPr>
        <w:t>https://pubmed.ncbi.nlm.nih.gov/42931848/</w:t>
      </w:r>
    </w:p>
    <w:p>
      <w:pPr>
        <w:pStyle w:val="Heading1"/>
      </w:pPr>
      <w:r>
        <w:t>Aufgenommen am 28.10.2026</w:t>
      </w:r>
    </w:p>
    <w:p>
      <w:pPr>
        <w:pStyle w:val="Heading2"/>
      </w:pPr>
      <w:r>
        <w:t>Sacituzumab Tirumotecan zeigt nachhaltigen OS-Vorteil beim triple-negativen Mammakarzinom</w:t>
      </w:r>
    </w:p>
    <w:p>
      <w:r>
        <w:rPr>
          <w:i/>
          <w:color w:val="666666"/>
          <w:sz w:val="18"/>
        </w:rPr>
        <w:t>Xu B et al.  ·  Ann Oncol  ·  31.12.2026  ·  PMID 42933638</w:t>
      </w:r>
    </w:p>
    <w:p>
      <w:r>
        <w:t>Phase-3-Studie OptiTROP-Breast01 zu Sacituzumab Tirumotecan versus Chemotherapie bei vorbehandeltem lokal rezidiviertem oder metastasiertem triple-negativem Mammakarzinom mit finaler OS-Analyse nach 29,4 Monaten Nachbeobachtung.</w:t>
      </w:r>
    </w:p>
    <w:p>
      <w:r>
        <w:rPr>
          <w:b/>
        </w:rPr>
        <w:t xml:space="preserve">Ergebnis: </w:t>
      </w:r>
      <w:r>
        <w:t>Median OS 14,7 Monate (Sacituzumab) versus 9,9 Monate (Chemotherapie; HR 0,60; p&lt;0,001). 30-Monats-OS-Rate 26,8% versus 13,2%. Größte Grade-3+ Nebenwirkungen: Neutropenie, WBC-Abfall, Anämie. Keine neuen Sicherheitssignale.</w:t>
      </w:r>
    </w:p>
    <w:p>
      <w:r>
        <w:rPr>
          <w:b/>
          <w:sz w:val="19"/>
        </w:rPr>
        <w:t xml:space="preserve">Übertragbarkeit: </w:t>
      </w:r>
      <w:r>
        <w:rPr>
          <w:sz w:val="19"/>
        </w:rPr>
        <w:t>Internationale Studie, europäische und chinesische Zentren, vergleichbare Standards</w:t>
      </w:r>
    </w:p>
    <w:p>
      <w:r>
        <w:rPr>
          <w:color w:val="5A7D3A"/>
          <w:sz w:val="18"/>
        </w:rPr>
        <w:t>https://pubmed.ncbi.nlm.nih.gov/42933638/</w:t>
      </w:r>
    </w:p>
    <w:p>
      <w:pPr>
        <w:pStyle w:val="Heading2"/>
      </w:pPr>
      <w:r>
        <w:t>Sacituzumab Tirumotecan verbessert Überleben bei vorbehandeltem Endometriumkarzinom</w:t>
      </w:r>
    </w:p>
    <w:p>
      <w:r>
        <w:rPr>
          <w:i/>
          <w:color w:val="666666"/>
          <w:sz w:val="18"/>
        </w:rPr>
        <w:t>Lorusso D et al.  ·  Lancet  ·  26.10.2026  ·  PMID 42933460</w:t>
      </w:r>
    </w:p>
    <w:p>
      <w:r>
        <w:t>Phase-3-Studie zu Sacituzumab Tirumotecan (TROP2-gerichtetes Antibody-Drug Conjugate) versus Chemotherapie nach Platin und Immuntherapie bei fortgeschrittenem/rezidiviertem Endometriumkarzinom.</w:t>
      </w:r>
    </w:p>
    <w:p>
      <w:r>
        <w:rPr>
          <w:b/>
        </w:rPr>
        <w:t xml:space="preserve">Ergebnis: </w:t>
      </w:r>
      <w:r>
        <w:t>Median PFS 7,2 Monate (Sacituzumab) versus 3,9 Monate (Kontrollgruppe; HR 0,59; p&lt;0,0001). Median OS 19,0 Monate versus 12,1 Monate (HR 0,68; p=0,0001). Grade 3+ Nebenwirkungen 69% versus 57%. Behandlungsbedingte Todesfälle &lt;1% in beiden Armen.</w:t>
      </w:r>
    </w:p>
    <w:p>
      <w:r>
        <w:rPr>
          <w:b/>
          <w:sz w:val="19"/>
        </w:rPr>
        <w:t xml:space="preserve">Übertragbarkeit: </w:t>
      </w:r>
      <w:r>
        <w:rPr>
          <w:sz w:val="19"/>
        </w:rPr>
        <w:t>Internationale Studie, europäische Zentren beteiligt, vergleichbare Versorgungsstrukturen</w:t>
      </w:r>
    </w:p>
    <w:p>
      <w:r>
        <w:rPr>
          <w:color w:val="5A7D3A"/>
          <w:sz w:val="18"/>
        </w:rPr>
        <w:t>https://pubmed.ncbi.nlm.nih.gov/42933460/</w:t>
      </w:r>
    </w:p>
    <w:p>
      <w:pPr>
        <w:pStyle w:val="Heading2"/>
      </w:pPr>
      <w:r>
        <w:t>Pembrolizumab allein überlegen gegenüber Chemotherapie bei MMR-defizientem Endometriumkarzinom</w:t>
      </w:r>
    </w:p>
    <w:p>
      <w:r>
        <w:rPr>
          <w:i/>
          <w:color w:val="666666"/>
          <w:sz w:val="18"/>
        </w:rPr>
        <w:t>Slomovitz BM et al.  ·  Lancet  ·  26.10.2026  ·  PMID 42933458</w:t>
      </w:r>
    </w:p>
    <w:p>
      <w:r>
        <w:t>Phase-3-Studie KEYNOTE-C93 zu First-Line-Pembrolizumab versus Carboplatin+Paclitaxel bei MMR-defizienten fortgeschrittenen oder rezidiviertem Endometriumkarzinom (Zwischenanalyse April 2026).</w:t>
      </w:r>
    </w:p>
    <w:p>
      <w:r>
        <w:rPr>
          <w:b/>
        </w:rPr>
        <w:t xml:space="preserve">Ergebnis: </w:t>
      </w:r>
      <w:r>
        <w:t>Median PFS 38,2 Monate (Pembrolizumab) versus 8,4 Monate (Chemotherapie; HR 0,57; p=0,0002). 12-Monats-PFS 67% versus 40%. Kriterium für OS-Signifikanz nicht erreicht in Zwischenanalyse. Grade 3+ Nebenwirkungen 18% versus 51%.</w:t>
      </w:r>
    </w:p>
    <w:p>
      <w:r>
        <w:rPr>
          <w:b/>
          <w:sz w:val="19"/>
        </w:rPr>
        <w:t xml:space="preserve">Übertragbarkeit: </w:t>
      </w:r>
      <w:r>
        <w:rPr>
          <w:sz w:val="19"/>
        </w:rPr>
        <w:t>Internationale Multizenterstudie, europäische und deutsche Zentren, vergleichbare Standards</w:t>
      </w:r>
    </w:p>
    <w:p>
      <w:r>
        <w:rPr>
          <w:color w:val="5A7D3A"/>
          <w:sz w:val="18"/>
        </w:rPr>
        <w:t>https://pubmed.ncbi.nlm.nih.gov/42933458/</w:t>
      </w:r>
    </w:p>
    <w:p>
      <w:pPr>
        <w:pStyle w:val="Heading2"/>
      </w:pPr>
      <w:r>
        <w:t>Tarlatamab plus Durvalumab verlängert Gesamtüberleben bei kleinzelligem Lungenkarzinom</w:t>
      </w:r>
    </w:p>
    <w:p>
      <w:r>
        <w:rPr>
          <w:i/>
          <w:color w:val="666666"/>
          <w:sz w:val="18"/>
        </w:rPr>
        <w:t>Pérol M et al.  ·  N Engl J Med  ·  24.10.2026  ·  PMID 42929702</w:t>
      </w:r>
    </w:p>
    <w:p>
      <w:r>
        <w:t>Phase-3-Studie zu Tarlatamab (DLL3-gerichteter Bispecific T-Cell Engager) plus Durvalumab versus Durvalumab allein als Erhaltungstherapie nach Erstlinien-Chemoimmunotherapie bei extensivem kleinzelligem Lungenkarzinom.</w:t>
      </w:r>
    </w:p>
    <w:p>
      <w:r>
        <w:rPr>
          <w:b/>
        </w:rPr>
        <w:t xml:space="preserve">Ergebnis: </w:t>
      </w:r>
      <w:r>
        <w:t>Median Overall Survival (OS) 21,1 Monate (Tarlatamab-Durvalumab) versus 12,7 Monate (Durvalumab; HR 0,42; p&lt;0,001). Median Progression-Free Survival (PFS) 7,4 versus 1,9 Monate (HR 0,34; p&lt;0,001). Grade 3/4 Nebenwirkungen 46,8% versus 40,6%, Zytokinfreisetzungssyndrom in etwa der Hälfte der Tarlatamab-Durvalumab-Gruppe, überwiegend Grad 1/2.</w:t>
      </w:r>
    </w:p>
    <w:p>
      <w:r>
        <w:rPr>
          <w:b/>
          <w:sz w:val="19"/>
        </w:rPr>
        <w:t xml:space="preserve">Übertragbarkeit: </w:t>
      </w:r>
      <w:r>
        <w:rPr>
          <w:sz w:val="19"/>
        </w:rPr>
        <w:t>USA-Studie, Zulassung in Deutschland möglich, aber von AMNOG-Bewertung abhängig</w:t>
      </w:r>
    </w:p>
    <w:p>
      <w:r>
        <w:rPr>
          <w:color w:val="5A7D3A"/>
          <w:sz w:val="18"/>
        </w:rPr>
        <w:t>https://pubmed.ncbi.nlm.nih.gov/42929702/</w:t>
      </w:r>
    </w:p>
    <w:p>
      <w:pPr>
        <w:pStyle w:val="Heading2"/>
      </w:pPr>
      <w:r>
        <w:t>Durvalumab+Enfortumab Vedotin verbessert Event-Free Survival bei Muskelinvasivem Urothelkarzinom</w:t>
      </w:r>
    </w:p>
    <w:p>
      <w:r>
        <w:rPr>
          <w:i/>
          <w:color w:val="666666"/>
          <w:sz w:val="18"/>
        </w:rPr>
        <w:t>Powles T et al.  ·  N Engl J Med  ·  24.10.2026  ·  PMID 42929692</w:t>
      </w:r>
    </w:p>
    <w:p>
      <w:r>
        <w:t>Phase-3-Studie VOLGA zu Durvalumab mit/ohne Tremelimumab plus Enfortumab Vedotin neoadjuvant gefolgt von Zystektomie und adjuvanter Durvalumab versus Chirurgie allein bei Patienten mit Muskelinvasivem Urothelkarzinom.</w:t>
      </w:r>
    </w:p>
    <w:p>
      <w:r>
        <w:rPr>
          <w:b/>
        </w:rPr>
        <w:t xml:space="preserve">Ergebnis: </w:t>
      </w:r>
      <w:r>
        <w:t>24-Monats-Event-Free-Survival (EFS) 63,5% (Durvalumab-Enfortumab) versus 45,1% (Kontrolle; HR 0,51; p&lt;0,001). 24-Monats-OS 78,4% versus 69,4% (HR 0,58; p=0,003). Grade 3+ Nebenwirkungen 71,1% (behandlungsbedingt 30,7%) versus 50,2%.</w:t>
      </w:r>
    </w:p>
    <w:p>
      <w:r>
        <w:rPr>
          <w:b/>
          <w:sz w:val="19"/>
        </w:rPr>
        <w:t xml:space="preserve">Übertragbarkeit: </w:t>
      </w:r>
      <w:r>
        <w:rPr>
          <w:sz w:val="19"/>
        </w:rPr>
        <w:t>Internationale Phase-3-Studie, europäische und deutsche Zentren, deutsche Versicherungssysteme</w:t>
      </w:r>
    </w:p>
    <w:p>
      <w:r>
        <w:rPr>
          <w:color w:val="5A7D3A"/>
          <w:sz w:val="18"/>
        </w:rPr>
        <w:t>https://pubmed.ncbi.nlm.nih.gov/42929692/</w:t>
      </w:r>
    </w:p>
    <w:p>
      <w:pPr>
        <w:pStyle w:val="Heading2"/>
      </w:pPr>
      <w:r>
        <w:t>ESMO-Leitlinien zu Diagnostik und Therapie des Nierenzellkarzinoms in Asien adaptiert</w:t>
      </w:r>
    </w:p>
    <w:p>
      <w:r>
        <w:rPr>
          <w:i/>
          <w:color w:val="666666"/>
          <w:sz w:val="18"/>
        </w:rPr>
        <w:t>Kanesvaran R et al.  ·  ESMO Open  ·  01.10.2026  ·  PMID 42914499</w:t>
      </w:r>
    </w:p>
    <w:p>
      <w:r>
        <w:t>Pan-asiatische Konsensusleitlinien adaptiert von den ESMO-Leitlinien Mai 2024 mit Harmonisierung von Diagnostik, Behandlung und Nachsorge des Nierenzellkarzinoms unter Berücksichtigung regionaler Unterschiede in Zulassung und Verfügbarkeit.</w:t>
      </w:r>
    </w:p>
    <w:p>
      <w:r>
        <w:rPr>
          <w:b/>
        </w:rPr>
        <w:t xml:space="preserve">Ergebnis: </w:t>
      </w:r>
      <w:r>
        <w:t>Konkrete Empfehlungen zu Staging, systemischer Therapie (Immuntherapie-Kombinationen als Standard in metastasiertem Krankheitsstadium), adjuvanter Pembrolizumab für High-Risk-Patienten. Fokus auf Harmonisierung trotz Disparitäten in Arzneimittelzugang und Erstattung zwischen Ländern.</w:t>
      </w:r>
    </w:p>
    <w:p>
      <w:r>
        <w:rPr>
          <w:b/>
          <w:sz w:val="19"/>
        </w:rPr>
        <w:t xml:space="preserve">Übertragbarkeit: </w:t>
      </w:r>
      <w:r>
        <w:rPr>
          <w:sz w:val="19"/>
        </w:rPr>
        <w:t>Leitlinienwerk, europäische und asiatische Experten, begrenzt auf Asien</w:t>
      </w:r>
    </w:p>
    <w:p>
      <w:r>
        <w:rPr>
          <w:color w:val="5A7D3A"/>
          <w:sz w:val="18"/>
        </w:rPr>
        <w:t>https://pubmed.ncbi.nlm.nih.gov/42914499/</w:t>
      </w:r>
    </w:p>
    <w:p>
      <w:pPr>
        <w:pStyle w:val="Heading1"/>
      </w:pPr>
      <w:r>
        <w:t>Aufgenommen am 27.10.2026</w:t>
      </w:r>
    </w:p>
    <w:p>
      <w:pPr>
        <w:pStyle w:val="Heading2"/>
      </w:pPr>
      <w:r>
        <w:t>Tarlatamab verlängert Gesamtüberleben bei kleinzelligem Lungenkarzinom deutlich</w:t>
      </w:r>
    </w:p>
    <w:p>
      <w:r>
        <w:rPr>
          <w:i/>
          <w:color w:val="666666"/>
          <w:sz w:val="18"/>
        </w:rPr>
        <w:t>Rudin CM et al.  ·  Ann Oncol  ·  31.12.2026  ·  PMID 42933636</w:t>
      </w:r>
    </w:p>
    <w:p>
      <w:r>
        <w:t>Randomisierte Phase-3-Studie zum Vergleich von Tarlatamab (bispezifischer T-Zell-Engager gegen DLL3 und CD3) mit Chemotherapie (Topotekan, Lurbinectedin oder Amrubicin) bei Patienten mit kleinzelligem Lungenkarzinom nach Platinchemotherapie-Versagen.</w:t>
      </w:r>
    </w:p>
    <w:p>
      <w:r>
        <w:rPr>
          <w:b/>
        </w:rPr>
        <w:t xml:space="preserve">Ergebnis: </w:t>
      </w:r>
      <w:r>
        <w:t>Median-OS 13,6 Monate (Tarlatamab) vs. 8,4 Monate (Chemotherapie), HR 0,68 (p&lt;0,001); 24-Monate-OS-Raten 30,3% vs. 14,9%; Median-PFS 4,2 vs. 3,2 Monate; objektive Ansprechrate 35,4% vs. 20,4%. Behandlungsbedingte Nebenwirkungen führten bei 3,2% (Tarlatamab) vs. 6,6% (Chemotherapie) zum Abbruch.</w:t>
      </w:r>
    </w:p>
    <w:p>
      <w:r>
        <w:rPr>
          <w:b/>
          <w:sz w:val="19"/>
        </w:rPr>
        <w:t xml:space="preserve">Übertragbarkeit: </w:t>
      </w:r>
      <w:r>
        <w:rPr>
          <w:sz w:val="19"/>
        </w:rPr>
        <w:t>Europäische Studie mit Zentren in Deutschland, Italien, Frankreich und UK; Ergebnisse unmittelbar auf deutsches System übertragbar.</w:t>
      </w:r>
    </w:p>
    <w:p>
      <w:r>
        <w:rPr>
          <w:color w:val="5A7D3A"/>
          <w:sz w:val="18"/>
        </w:rPr>
        <w:t>https://pubmed.ncbi.nlm.nih.gov/42933636/</w:t>
      </w:r>
    </w:p>
    <w:p>
      <w:pPr>
        <w:pStyle w:val="Heading2"/>
      </w:pPr>
      <w:r>
        <w:t>Heilungsintention bei metastasiertem Nasopharynxkarzinom - internationale Konsensus-Leitlinie</w:t>
      </w:r>
    </w:p>
    <w:p>
      <w:r>
        <w:rPr>
          <w:i/>
          <w:color w:val="666666"/>
          <w:sz w:val="18"/>
        </w:rPr>
        <w:t>Guo QJ et al.  ·  Lancet Oncol  ·  Nov. 2026  ·  PMID 42933448</w:t>
      </w:r>
    </w:p>
    <w:p>
      <w:r>
        <w:t>Internationale Konsensus-Leitlinie von 54 Experten aus 46 Zentren in 18 Ländern zur kurativen Behandlung von Patienten mit de-novo-metastasiertem Nasopharynxkarzinom, entwickelt durch systematische Evidenzbewertung.</w:t>
      </w:r>
    </w:p>
    <w:p>
      <w:r>
        <w:rPr>
          <w:b/>
        </w:rPr>
        <w:t xml:space="preserve">Ergebnis: </w:t>
      </w:r>
      <w:r>
        <w:t>32 Empfehlungen in 7 Domänen formuliert: 29 starke (≥80% Konsens oder hohe Evidenzqualität) und 3 konditionale (67-79% Konsens). Kernempfehlung: Kurative Therapie für medizinisch fitte Patienten mit maximal 3 Metastasen in ≤2 Organen; multimodale Behandlung (Immunochemotherapie, lokoregionale Radiotherapie, Metastasen-gerichtete Therapie, Erhaltungstherapie).</w:t>
      </w:r>
    </w:p>
    <w:p>
      <w:r>
        <w:rPr>
          <w:b/>
          <w:sz w:val="19"/>
        </w:rPr>
        <w:t xml:space="preserve">Übertragbarkeit: </w:t>
      </w:r>
      <w:r>
        <w:rPr>
          <w:sz w:val="19"/>
        </w:rPr>
        <w:t>International erarbeitete Leitlinie mit starker europäischer Beteiligung (Frankreich, Deutschland, UK, Schweiz, Niederlande, Italien); direkt auf deutsches Behandlungssystem anwendbar.</w:t>
      </w:r>
    </w:p>
    <w:p>
      <w:r>
        <w:rPr>
          <w:color w:val="5A7D3A"/>
          <w:sz w:val="18"/>
        </w:rPr>
        <w:t>https://pubmed.ncbi.nlm.nih.gov/42933448/</w:t>
      </w:r>
    </w:p>
    <w:p>
      <w:pPr>
        <w:pStyle w:val="Heading2"/>
      </w:pPr>
      <w:r>
        <w:t>CAR-T-Therapie verbessert ereignisfreies Überleben bei B-Zell-Lymphom stark</w:t>
      </w:r>
    </w:p>
    <w:p>
      <w:r>
        <w:rPr>
          <w:i/>
          <w:color w:val="666666"/>
          <w:sz w:val="18"/>
        </w:rPr>
        <w:t>Borchmann P et al.  ·  Lancet Oncol  ·  Nov. 2026  ·  PMID 42933440</w:t>
      </w:r>
    </w:p>
    <w:p>
      <w:r>
        <w:t>Randomisierte europäische Phase-2-Studie an 45 Zentren in 12 Ländern zum Vergleich von Zamtocabtagene autoleucel (bivirales anti-CD20/CD19 CAR-T) mit R-GemOx-Chemotherapie bei transplantationsineligiblen Patienten mit rezidiviertem/refraktärem Lymphom.</w:t>
      </w:r>
    </w:p>
    <w:p>
      <w:r>
        <w:rPr>
          <w:b/>
        </w:rPr>
        <w:t xml:space="preserve">Ergebnis: </w:t>
      </w:r>
      <w:r>
        <w:t>Ereignisfreies Überleben (primärer Endpunkt) 6,21 Monate (Zamto-cel) vs. 2,53 Monate (R-GemOx), HR 0,39 (p&lt;0,0001); Grade ≥3 Nebenwirkungen in 83% (Zamto-cel) vs. 86% (R-GemOx); Zytokin-Freisetzungssyndrom (CRS) in 8% (vorwiegend Grad 1-2), Neurotoxizität in 5%. Schwerwiegende Nebenwirkungen in 41% vs. 66%.</w:t>
      </w:r>
    </w:p>
    <w:p>
      <w:r>
        <w:rPr>
          <w:b/>
          <w:sz w:val="19"/>
        </w:rPr>
        <w:t xml:space="preserve">Übertragbarkeit: </w:t>
      </w:r>
      <w:r>
        <w:rPr>
          <w:sz w:val="19"/>
        </w:rPr>
        <w:t>Europäische Multizenterstudie (Deutschland, Niederlande, Spanien, Frankreich, Österreich, Belgien, Litauen); direkt auf deutsches Zentrumsystem übertragbar.</w:t>
      </w:r>
    </w:p>
    <w:p>
      <w:r>
        <w:rPr>
          <w:color w:val="5A7D3A"/>
          <w:sz w:val="18"/>
        </w:rPr>
        <w:t>https://pubmed.ncbi.nlm.nih.gov/42933440/</w:t>
      </w:r>
    </w:p>
    <w:p>
      <w:pPr>
        <w:pStyle w:val="Heading2"/>
      </w:pPr>
      <w:r>
        <w:t>Validierte Lebensqualitätsmessung für seltene Tumorerkrankungen etabliert</w:t>
      </w:r>
    </w:p>
    <w:p>
      <w:r>
        <w:rPr>
          <w:i/>
          <w:color w:val="666666"/>
          <w:sz w:val="18"/>
        </w:rPr>
        <w:t>Padilla CS et al.  ·  Eur J Cancer  ·  14.10.2026  ·  PMID 42933087</w:t>
      </w:r>
    </w:p>
    <w:p>
      <w:r>
        <w:t>Europäische Querschnittsstudie bei 397 Patienten mit 20 verschiedenen soliden seltenen Tumorerkrankungen zur Relevanzprüfung von EORTC-Lebensqualitätsfragebogen (QLQ-C30 und tumorspezifisch).</w:t>
      </w:r>
    </w:p>
    <w:p>
      <w:r>
        <w:rPr>
          <w:b/>
        </w:rPr>
        <w:t xml:space="preserve">Ergebnis: </w:t>
      </w:r>
      <w:r>
        <w:t>Alle QLQ-C30-Items erfüllten Relevanzschwelle (Mittelwert ≥1,5) über alle Diagnosen hinweg; häufigste Prioritäten: Gesamtgesundheit (37,05%), Lebensqualität (37,5%), Schmerz (34%), Interferenz Schmerz/Aktivitäten (28%), Sorge (26,4%). Tumorspezifische Tests variierten stark (QLQ-BIL21 sehr relevant, QLQ-VU34 nur einzelne Items relevant).</w:t>
      </w:r>
    </w:p>
    <w:p>
      <w:r>
        <w:rPr>
          <w:b/>
          <w:sz w:val="19"/>
        </w:rPr>
        <w:t xml:space="preserve">Übertragbarkeit: </w:t>
      </w:r>
      <w:r>
        <w:rPr>
          <w:sz w:val="19"/>
        </w:rPr>
        <w:t>Europäisch koordinierte Studie (Niederlande, Deutschland, Spanien, Italien, Türkei, China); Empfehlungen direkt nutzbar für deutsches Nachsorgeangebot in Zentren.</w:t>
      </w:r>
    </w:p>
    <w:p>
      <w:r>
        <w:rPr>
          <w:color w:val="5A7D3A"/>
          <w:sz w:val="18"/>
        </w:rPr>
        <w:t>https://pubmed.ncbi.nlm.nih.gov/42933087/</w:t>
      </w:r>
    </w:p>
    <w:p>
      <w:pPr>
        <w:pStyle w:val="Heading2"/>
      </w:pPr>
      <w:r>
        <w:t>HPV16-ctDNA als starker Prognosemarker und Überwachungsbiomarker</w:t>
      </w:r>
    </w:p>
    <w:p>
      <w:r>
        <w:rPr>
          <w:i/>
          <w:color w:val="666666"/>
          <w:sz w:val="18"/>
        </w:rPr>
        <w:t>Torrens L et al.  ·  Eur J Cancer  ·  05.10.2026  ·  PMID 42933086</w:t>
      </w:r>
    </w:p>
    <w:p>
      <w:r>
        <w:t>Internationale Multizenterstudie bei 173 HPV-positiven Oropharynxkarzinom-Patienten aus Süd- und Nordamerika sowie Europa zur Validierung von HPV16 zirkulärer Tumor-DNA (mittels digitaler PCR) für Prognose und post-therapeutische Überwachung.</w:t>
      </w:r>
    </w:p>
    <w:p>
      <w:r>
        <w:rPr>
          <w:b/>
        </w:rPr>
        <w:t xml:space="preserve">Ergebnis: </w:t>
      </w:r>
      <w:r>
        <w:t>Baseline-HPV16-ctDNA: 100% Spezifität, 73,4% Sensitivität; ctDNA-positive Patienten hatten signifikant schlechteres OS als ctDNA-negative; höhere ctDNA-Level (≥1082 Kopien/mL) unabhängig mit schlechterer OS assoziiert (HR 1,68, p=0,019); persistierende post-therapeutische ctDNA-Detektion mit Progression/Rezidiv in 6,3-23,0 Monaten verbunden.</w:t>
      </w:r>
    </w:p>
    <w:p>
      <w:r>
        <w:rPr>
          <w:b/>
          <w:sz w:val="19"/>
        </w:rPr>
        <w:t xml:space="preserve">Übertragbarkeit: </w:t>
      </w:r>
      <w:r>
        <w:rPr>
          <w:sz w:val="19"/>
        </w:rPr>
        <w:t>Multinational durchgeführt mit europäischen (Frankreich, Tschechien, Italien) und südamerikanischen Zentren; Methode auf deutsches Laborsystem anwendbar.</w:t>
      </w:r>
    </w:p>
    <w:p>
      <w:r>
        <w:rPr>
          <w:color w:val="5A7D3A"/>
          <w:sz w:val="18"/>
        </w:rPr>
        <w:t>https://pubmed.ncbi.nlm.nih.gov/42933086/</w:t>
      </w:r>
    </w:p>
    <w:p>
      <w:pPr>
        <w:pStyle w:val="Heading2"/>
      </w:pPr>
      <w:r>
        <w:t>Tumorkonferenz-Beteiligung verdoppelt Erfolg von Ernährungs- und Bewegungsberatung</w:t>
      </w:r>
    </w:p>
    <w:p>
      <w:r>
        <w:rPr>
          <w:i/>
          <w:color w:val="666666"/>
          <w:sz w:val="18"/>
        </w:rPr>
        <w:t>Eichler M et al.  ·  JCO Oncol Pract  ·  26.10.2026  ·  PMID 42932823</w:t>
      </w:r>
    </w:p>
    <w:p>
      <w:r>
        <w:t>Deutsche Einzelzenter-Studie (Nationales Zentrum für Tumorerkrankungen Dresden) mit retrospektiver Analyse von 1.256 onkologischen Patienten zur Umsetzung strukturierter Ernährungs- und Bewegungsberatung via elektronische PRO-Erfassung und Tumorkonferenz-Koordination.</w:t>
      </w:r>
    </w:p>
    <w:p>
      <w:r>
        <w:rPr>
          <w:b/>
        </w:rPr>
        <w:t xml:space="preserve">Ergebnis: </w:t>
      </w:r>
      <w:r>
        <w:t>Ernährungsscreening identifizierte Risiko bei 62,2% (664/1.068), Bewegungsscreening bei 84,4% (1.046/1.240); Beratungsangebot nur 27,6% (Ernährung) bzw. 52,9% (Bewegung) der Gefährdeten; Abschluss-Rate 13,6% (Ernährung) bzw. 11,2% (Bewegung) unter den Angebotenen. Tumorkonferenz-Beteiligung unabhängig assoziiert mit höherer Abschlussquote (OR 2,3 Ernährung, OR 2,8 Bewegung).</w:t>
      </w:r>
    </w:p>
    <w:p>
      <w:r>
        <w:rPr>
          <w:b/>
          <w:sz w:val="19"/>
        </w:rPr>
        <w:t xml:space="preserve">Übertragbarkeit: </w:t>
      </w:r>
      <w:r>
        <w:rPr>
          <w:sz w:val="19"/>
        </w:rPr>
        <w:t>Deutsche Klinikdaten, unmittelbar auf deutsches Versorgungssystem anwendbar.</w:t>
      </w:r>
    </w:p>
    <w:p>
      <w:r>
        <w:rPr>
          <w:color w:val="5A7D3A"/>
          <w:sz w:val="18"/>
        </w:rPr>
        <w:t>https://pubmed.ncbi.nlm.nih.gov/42932823/</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