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26.09.2026  |  7 Studien  |  onkologie.m-vf.de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Reduzierte Dosis für elektive Halsknotenbest. in Nasopharynxkarzinom: 5-Jahres-Sicherheit</w:t>
      </w:r>
    </w:p>
    <w:p>
      <w:r>
        <w:rPr>
          <w:i/>
          <w:color w:val="666666"/>
          <w:sz w:val="18"/>
        </w:rPr>
        <w:t>Chen X et al.  ·  Radiother Oncol  ·  25.09.2026  ·  PMID 42790787</w:t>
      </w:r>
    </w:p>
    <w:p>
      <w:r>
        <w:t>Retrospektive Kohorte mit 752 Patienten zu Langzeiteffizienz und Organschonung bei De-Eskalation der elektiven Halsknotenbestrahlung von 50 Gy auf 45 Gy EQD2 bei intensitätsmodulierter Radiotherapie.</w:t>
      </w:r>
    </w:p>
    <w:p>
      <w:r>
        <w:rPr>
          <w:b/>
        </w:rPr>
        <w:t xml:space="preserve">Ergebnis: </w:t>
      </w:r>
      <w:r>
        <w:t>5-Jahres-Regionalkontrollen 97,3 %, Gesamtüberleben 89,7 %. Nur 0,7 % isolierte Rezidive in der 45-Gy-Dosis. Vergleichspläne zeigten signifikante Dosisreduktion für alle Risikoorgane (p &lt; 0,001) mit bedeutsamen NTCP-Reduktionen für Parotisfunktionsverlust, Dysphagie und Hypothyreose (alle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Daten, internationales Standard-Bestrahlungsprotokoll, direkt übertragbar.</w:t>
      </w:r>
    </w:p>
    <w:p>
      <w:r>
        <w:rPr>
          <w:color w:val="5A7D3A"/>
          <w:sz w:val="18"/>
        </w:rPr>
        <w:t>https://pubmed.ncbi.nlm.nih.gov/42790787/</w:t>
      </w:r>
    </w:p>
    <w:p>
      <w:pPr>
        <w:pStyle w:val="Heading2"/>
      </w:pPr>
      <w:r>
        <w:t>Iberdomid + Daratumumab gegen Bortezomib bei Myelom: MRD-negative Remissionen verdoppelt</w:t>
      </w:r>
    </w:p>
    <w:p>
      <w:r>
        <w:rPr>
          <w:i/>
          <w:color w:val="666666"/>
          <w:sz w:val="18"/>
        </w:rPr>
        <w:t>Lonial S et al.  ·  Lancet Oncol  ·  25.09.2026  ·  PMID 42790445</w:t>
      </w:r>
    </w:p>
    <w:p>
      <w:r>
        <w:t>Phase-3-Studie (EXCALIBER-RRMM) mit 420 Patienten, randomisiert zum Vergleich Iberdomid/Daratumumab/Dexamethason vs. Daratumumab/Bortezomib/Dexamethason bei rezidiviertem/refraktärem Myelom.</w:t>
      </w:r>
    </w:p>
    <w:p>
      <w:r>
        <w:rPr>
          <w:b/>
        </w:rPr>
        <w:t xml:space="preserve">Ergebnis: </w:t>
      </w:r>
      <w:r>
        <w:t>MRD-negative komplette Remissionen (Fluoreszenzfluss &lt;10−5) 41 % vs. 21 % (odds ratio 2,8; 95%-KI 1,8–4,3; p &lt; 0,0001). Grad-3/4-Nebenwirkungen in 92 % vs. 70 % (Neutropenie 84 % vs. 11 %, Infektionen 39 % vs. 22 %), managebar mit Supportivtherapie.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zentraler europäischer Einsatz in AMNOG-Verfahren zu prüfen.</w:t>
      </w:r>
    </w:p>
    <w:p>
      <w:r>
        <w:rPr>
          <w:color w:val="5A7D3A"/>
          <w:sz w:val="18"/>
        </w:rPr>
        <w:t>https://pubmed.ncbi.nlm.nih.gov/42790445/</w:t>
      </w:r>
    </w:p>
    <w:p>
      <w:pPr>
        <w:pStyle w:val="Heading2"/>
      </w:pPr>
      <w:r>
        <w:t>Online adaptive Radiotherapie bei Prostatakarzinom: weniger Toxizität, bessere Lebensqualität</w:t>
      </w:r>
    </w:p>
    <w:p>
      <w:r>
        <w:rPr>
          <w:i/>
          <w:color w:val="666666"/>
          <w:sz w:val="18"/>
        </w:rPr>
        <w:t>Kalinauskaite G et al.  ·  Strahlenther Onkol  ·  25.09.2026  ·  PMID 42789071</w:t>
      </w:r>
    </w:p>
    <w:p>
      <w:r>
        <w:t>Prospektive Studie zum Vergleich der akuten Toxizität und Lebensqualität bei adaptiver MRT-gestützter Online-Bestrahlung vs. konventioneller bildgestützter Radiotherapie bei Prostatakarzinom mit moderat hypofraktioniertem Schema.</w:t>
      </w:r>
    </w:p>
    <w:p>
      <w:r>
        <w:rPr>
          <w:b/>
        </w:rPr>
        <w:t xml:space="preserve">Ergebnis: </w:t>
      </w:r>
      <w:r>
        <w:t>Adaptive Radiotherapie war mit günstigerem gastrointestinalem Toxizitätsprofil assoziiert (niedrigere maximale Toxizitätsgrade; p = 0,028). Patienten der Vergleichsgruppe zeigten häufiger klinisch bedeutsame Verschlechterungen bei Fatigue (74 % vs. 37 %; p = 0,004), körperlicher Funktionsfähigkeit (27 % vs. 3 %; p = 0,009) und Rollenerfüllung (48,1 % vs. 22,9 %; p = 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Zentrumsmodell, Charité und Ulm, validierbar für deutsche Routineversorgung.</w:t>
      </w:r>
    </w:p>
    <w:p>
      <w:r>
        <w:rPr>
          <w:color w:val="5A7D3A"/>
          <w:sz w:val="18"/>
        </w:rPr>
        <w:t>https://pubmed.ncbi.nlm.nih.gov/42789071/</w:t>
      </w:r>
    </w:p>
    <w:p>
      <w:pPr>
        <w:pStyle w:val="Heading2"/>
      </w:pPr>
      <w:r>
        <w:t>Zentralisierte MRT-geführte adaptive Brachytherapie für Zervixkarzinom in Österreich: Durchführbarkeit und Ergebnisse</w:t>
      </w:r>
    </w:p>
    <w:p>
      <w:r>
        <w:rPr>
          <w:i/>
          <w:color w:val="666666"/>
          <w:sz w:val="18"/>
        </w:rPr>
        <w:t>Knoth J et al.  ·  Strahlenther Onkol  ·  25.09.2026  ·  PMID 42789070</w:t>
      </w:r>
    </w:p>
    <w:p>
      <w:r>
        <w:t>Retrospektive Kohortenstudie zur Machbarkeit eines österreichischen Zentranzugangsmodells mit dezentraler Perkutanstrahlung und zentralisierter MRT-gestützter adaptiver Brachytherapie bei 89 Patienten mit FIGO IB–IVA Zervixkarzinom (2018–2022).</w:t>
      </w:r>
    </w:p>
    <w:p>
      <w:r>
        <w:rPr>
          <w:b/>
        </w:rPr>
        <w:t xml:space="preserve">Ergebnis: </w:t>
      </w:r>
      <w:r>
        <w:t>3-Jahres-Gesamtüberleben 74 %, Lokalkontrollen 95 %, Beckenregionalkontrollen 95 %. Grad-≥3-Morbidität bei 26,1 %. Mediane Gesamtbehandlungsdauer 50 Tage. Durchführbarkeit und Qualität bestätigt, auch bei paraaortischen Metastasen (17 %).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Österreichisches Verbundsystem direkt auf deutsche Zentrumslandschaft übertragbar.</w:t>
      </w:r>
    </w:p>
    <w:p>
      <w:r>
        <w:rPr>
          <w:color w:val="5A7D3A"/>
          <w:sz w:val="18"/>
        </w:rPr>
        <w:t>https://pubmed.ncbi.nlm.nih.gov/42789070/</w:t>
      </w:r>
    </w:p>
    <w:p>
      <w:pPr>
        <w:pStyle w:val="Heading2"/>
      </w:pPr>
      <w:r>
        <w:t>Frühe Palliativversorgung für afroamerikanische und rural wohnhafte Angehörige: Langzeitergebnisse</w:t>
      </w:r>
    </w:p>
    <w:p>
      <w:r>
        <w:rPr>
          <w:i/>
          <w:color w:val="666666"/>
          <w:sz w:val="18"/>
        </w:rPr>
        <w:t>Odom JN et al.  ·  J Natl Cancer Inst  ·  24.09.2026  ·  PMID 42786668</w:t>
      </w:r>
    </w:p>
    <w:p>
      <w:r>
        <w:t>Randomisierte Studie (ENABLE Cornerstone) bei 222 Angehörigen und 165 Patienten mit fortgeschrittenem Krebsleiden; Intervention: Laienkurs-geführte Palliativberatung für Pflegepersonen vs. Standardversorgung über 36–48 Wochen.</w:t>
      </w:r>
    </w:p>
    <w:p>
      <w:r>
        <w:rPr>
          <w:b/>
        </w:rPr>
        <w:t xml:space="preserve">Ergebnis: </w:t>
      </w:r>
      <w:r>
        <w:t>Pflegepersonen der Interventionsgruppe: niedrigere Anforderungsbelastung (Differenz −1,54; Cohen's d −0,41; p = 0,03) bei 36 Wochen. Patienten: niedriger depressive Symptome bei 36 Wochen (Differenz −1,53; p = 0,048) und bessere körperliche Lebensqualität bei 48 Wochen (Differenz +3,93; p = 0,02). Effekte bei Subgruppen mit strukturellen Zugangsbarrieren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unterrepräsentierte Bevölkerungsgruppen; Modell für deutsche Versorgungslücken anwendbar.</w:t>
      </w:r>
    </w:p>
    <w:p>
      <w:r>
        <w:rPr>
          <w:color w:val="5A7D3A"/>
          <w:sz w:val="18"/>
        </w:rPr>
        <w:t>https://pubmed.ncbi.nlm.nih.gov/42786668/</w:t>
      </w:r>
    </w:p>
    <w:p>
      <w:pPr>
        <w:pStyle w:val="Heading2"/>
      </w:pPr>
      <w:r>
        <w:t>Keramidsynthese und YAP-Signalweg treiben Kolonkarzinom-Metastasen</w:t>
      </w:r>
    </w:p>
    <w:p>
      <w:r>
        <w:rPr>
          <w:i/>
          <w:color w:val="666666"/>
          <w:sz w:val="18"/>
        </w:rPr>
        <w:t>Goswami S et al.  ·  Science  ·  24.09.2026  ·  PMID 42784694</w:t>
      </w:r>
    </w:p>
    <w:p>
      <w:r>
        <w:t>Mechanistische Studie in Zellsystemen und Tiermodellen zur Rolle von de-novo-Keramidsynthese, Desaturase Degs1 und YAP-Signalweg in der Initiierung von Kolorektalkarzinom-Metastasen unter Einfluss diätetischen Fetts.</w:t>
      </w:r>
    </w:p>
    <w:p>
      <w:r>
        <w:rPr>
          <w:b/>
        </w:rPr>
        <w:t xml:space="preserve">Ergebnis: </w:t>
      </w:r>
      <w:r>
        <w:t>Dietäres Fett löst anhaltende Keramidakkumulation aus → YAP-Aktivierung über PP2A-Dephosphorylierung → YAP-DR-Programm mit Basp1-Expression. Degs1-Knockout reduzierten Keramidspiegel, YAP-Aktivität und Metastasierung ohne Primärtumor-Wachstum zu beeinflussen. Basp1-high-Zellen waren erforderlich für Metastasierungsseeding.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Grundlagenarbeit; therapeutisches Ansatzpotential (Keramid-Inhibition) für klinische Translation.</w:t>
      </w:r>
    </w:p>
    <w:p>
      <w:r>
        <w:rPr>
          <w:color w:val="5A7D3A"/>
          <w:sz w:val="18"/>
        </w:rPr>
        <w:t>https://pubmed.ncbi.nlm.nih.gov/42784694/</w:t>
      </w:r>
    </w:p>
    <w:p>
      <w:pPr>
        <w:pStyle w:val="Heading2"/>
      </w:pPr>
      <w:r>
        <w:t>IDH-mutantes Gliom: Hirngeometrie und Hypoxie strukturieren Tumororganisation</w:t>
      </w:r>
    </w:p>
    <w:p>
      <w:r>
        <w:rPr>
          <w:i/>
          <w:color w:val="666666"/>
          <w:sz w:val="18"/>
        </w:rPr>
        <w:t>Hoefflin R et al.  ·  Cancer Cell  ·  14.09.2026  ·  PMID 42735681</w:t>
      </w:r>
    </w:p>
    <w:p>
      <w:r>
        <w:t>Räumlich-translationale Studie kombiniert Einzelzell-Proteomik und räumliche Transkriptomik bei IDH-mutierten Gliomen über alle Tumorgrade hinweg, um organisatorische Prinzipien von Tumorprogression zu identifizieren.</w:t>
      </w:r>
    </w:p>
    <w:p>
      <w:r>
        <w:rPr>
          <w:b/>
        </w:rPr>
        <w:t xml:space="preserve">Ergebnis: </w:t>
      </w:r>
      <w:r>
        <w:t>Frühe Tumore: anatomisch-getriebene Organisation an weiß-grauer Substanzgrenze, Oligodendrozyten-Vorläufer (OPC)-ähnliche Zellen preferenziell dort selektioniert. Intermediate Tumore: Desorganisation mit wenigen Zell-Wechselwirkungen. Hochtgradige: Hypoxie-assoziierte Struktur ähnlich IDH-Wildtyp-Glioblastom. Zwei unabhängige räumliche Organisationsachsen.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Europäisch-israelische Kooperation, Grundlagen für Zielpriorisierung bei Gliom-Therapie.</w:t>
      </w:r>
    </w:p>
    <w:p>
      <w:r>
        <w:rPr>
          <w:color w:val="5A7D3A"/>
          <w:sz w:val="18"/>
        </w:rPr>
        <w:t>https://pubmed.ncbi.nlm.nih.gov/42735681/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