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26.09.2026  |  106 Studien  |  onkologie.m-vf.de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Reduzierte Dosis für elektive Halsknotenbest. in Nasopharynxkarzinom: 5-Jahres-Sicherheit</w:t>
      </w:r>
    </w:p>
    <w:p>
      <w:r>
        <w:rPr>
          <w:i/>
          <w:color w:val="666666"/>
          <w:sz w:val="18"/>
        </w:rPr>
        <w:t>Chen X et al.  ·  Radiother Oncol  ·  25.09.2026  ·  PMID 42790787</w:t>
      </w:r>
    </w:p>
    <w:p>
      <w:r>
        <w:t>Retrospektive Kohorte mit 752 Patienten zu Langzeiteffizienz und Organschonung bei De-Eskalation der elektiven Halsknotenbestrahlung von 50 Gy auf 45 Gy EQD2 bei intensitätsmodulierter Radiotherapie.</w:t>
      </w:r>
    </w:p>
    <w:p>
      <w:r>
        <w:rPr>
          <w:b/>
        </w:rPr>
        <w:t xml:space="preserve">Ergebnis: </w:t>
      </w:r>
      <w:r>
        <w:t>5-Jahres-Regionalkontrollen 97,3 %, Gesamtüberleben 89,7 %. Nur 0,7 % isolierte Rezidive in der 45-Gy-Dosis. Vergleichspläne zeigten signifikante Dosisreduktion für alle Risikoorgane (p &lt; 0,001) mit bedeutsamen NTCP-Reduktionen für Parotisfunktionsverlust, Dysphagie und Hypothyreose (alle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Daten, internationales Standard-Bestrahlungsprotokoll, direkt übertragbar.</w:t>
      </w:r>
    </w:p>
    <w:p>
      <w:r>
        <w:rPr>
          <w:color w:val="5A7D3A"/>
          <w:sz w:val="18"/>
        </w:rPr>
        <w:t>https://pubmed.ncbi.nlm.nih.gov/42790787/</w:t>
      </w:r>
    </w:p>
    <w:p>
      <w:pPr>
        <w:pStyle w:val="Heading2"/>
      </w:pPr>
      <w:r>
        <w:t>Iberdomid + Daratumumab gegen Bortezomib bei Myelom: MRD-negative Remissionen verdoppelt</w:t>
      </w:r>
    </w:p>
    <w:p>
      <w:r>
        <w:rPr>
          <w:i/>
          <w:color w:val="666666"/>
          <w:sz w:val="18"/>
        </w:rPr>
        <w:t>Lonial S et al.  ·  Lancet Oncol  ·  25.09.2026  ·  PMID 42790445</w:t>
      </w:r>
    </w:p>
    <w:p>
      <w:r>
        <w:t>Phase-3-Studie (EXCALIBER-RRMM) mit 420 Patienten, randomisiert zum Vergleich Iberdomid/Daratumumab/Dexamethason vs. Daratumumab/Bortezomib/Dexamethason bei rezidiviertem/refraktärem Myelom.</w:t>
      </w:r>
    </w:p>
    <w:p>
      <w:r>
        <w:rPr>
          <w:b/>
        </w:rPr>
        <w:t xml:space="preserve">Ergebnis: </w:t>
      </w:r>
      <w:r>
        <w:t>MRD-negative komplette Remissionen (Fluoreszenzfluss &lt;10−5) 41 % vs. 21 % (odds ratio 2,8; 95%-KI 1,8–4,3; p &lt; 0,0001). Grad-3/4-Nebenwirkungen in 92 % vs. 70 % (Neutropenie 84 % vs. 11 %, Infektionen 39 % vs. 22 %), managebar mit Supportivtherapie.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zentraler europäischer Einsatz in AMNOG-Verfahren zu prüfen.</w:t>
      </w:r>
    </w:p>
    <w:p>
      <w:r>
        <w:rPr>
          <w:color w:val="5A7D3A"/>
          <w:sz w:val="18"/>
        </w:rPr>
        <w:t>https://pubmed.ncbi.nlm.nih.gov/42790445/</w:t>
      </w:r>
    </w:p>
    <w:p>
      <w:pPr>
        <w:pStyle w:val="Heading2"/>
      </w:pPr>
      <w:r>
        <w:t>Online adaptive Radiotherapie bei Prostatakarzinom: weniger Toxizität, bessere Lebensqualität</w:t>
      </w:r>
    </w:p>
    <w:p>
      <w:r>
        <w:rPr>
          <w:i/>
          <w:color w:val="666666"/>
          <w:sz w:val="18"/>
        </w:rPr>
        <w:t>Kalinauskaite G et al.  ·  Strahlenther Onkol  ·  25.09.2026  ·  PMID 42789071</w:t>
      </w:r>
    </w:p>
    <w:p>
      <w:r>
        <w:t>Prospektive Studie zum Vergleich der akuten Toxizität und Lebensqualität bei adaptiver MRT-gestützter Online-Bestrahlung vs. konventioneller bildgestützter Radiotherapie bei Prostatakarzinom mit moderat hypofraktioniertem Schema.</w:t>
      </w:r>
    </w:p>
    <w:p>
      <w:r>
        <w:rPr>
          <w:b/>
        </w:rPr>
        <w:t xml:space="preserve">Ergebnis: </w:t>
      </w:r>
      <w:r>
        <w:t>Adaptive Radiotherapie war mit günstigerem gastrointestinalem Toxizitätsprofil assoziiert (niedrigere maximale Toxizitätsgrade; p = 0,028). Patienten der Vergleichsgruppe zeigten häufiger klinisch bedeutsame Verschlechterungen bei Fatigue (74 % vs. 37 %; p = 0,004), körperlicher Funktionsfähigkeit (27 % vs. 3 %; p = 0,009) und Rollenerfüllung (48,1 % vs. 22,9 %; p = 0,04).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Zentrumsmodell, Charité und Ulm, validierbar für deutsche Routineversorgung.</w:t>
      </w:r>
    </w:p>
    <w:p>
      <w:r>
        <w:rPr>
          <w:color w:val="5A7D3A"/>
          <w:sz w:val="18"/>
        </w:rPr>
        <w:t>https://pubmed.ncbi.nlm.nih.gov/42789071/</w:t>
      </w:r>
    </w:p>
    <w:p>
      <w:pPr>
        <w:pStyle w:val="Heading2"/>
      </w:pPr>
      <w:r>
        <w:t>Zentralisierte MRT-geführte adaptive Brachytherapie für Zervixkarzinom in Österreich: Durchführbarkeit und Ergebnisse</w:t>
      </w:r>
    </w:p>
    <w:p>
      <w:r>
        <w:rPr>
          <w:i/>
          <w:color w:val="666666"/>
          <w:sz w:val="18"/>
        </w:rPr>
        <w:t>Knoth J et al.  ·  Strahlenther Onkol  ·  25.09.2026  ·  PMID 42789070</w:t>
      </w:r>
    </w:p>
    <w:p>
      <w:r>
        <w:t>Retrospektive Kohortenstudie zur Machbarkeit eines österreichischen Zentranzugangsmodells mit dezentraler Perkutanstrahlung und zentralisierter MRT-gestützter adaptiver Brachytherapie bei 89 Patienten mit FIGO IB–IVA Zervixkarzinom (2018–2022).</w:t>
      </w:r>
    </w:p>
    <w:p>
      <w:r>
        <w:rPr>
          <w:b/>
        </w:rPr>
        <w:t xml:space="preserve">Ergebnis: </w:t>
      </w:r>
      <w:r>
        <w:t>3-Jahres-Gesamtüberleben 74 %, Lokalkontrollen 95 %, Beckenregionalkontrollen 95 %. Grad-≥3-Morbidität bei 26,1 %. Mediane Gesamtbehandlungsdauer 50 Tage. Durchführbarkeit und Qualität bestätigt, auch bei paraaortischen Metastasen (17 %).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Österreichisches Verbundsystem direkt auf deutsche Zentrumslandschaft übertragbar.</w:t>
      </w:r>
    </w:p>
    <w:p>
      <w:r>
        <w:rPr>
          <w:color w:val="5A7D3A"/>
          <w:sz w:val="18"/>
        </w:rPr>
        <w:t>https://pubmed.ncbi.nlm.nih.gov/42789070/</w:t>
      </w:r>
    </w:p>
    <w:p>
      <w:pPr>
        <w:pStyle w:val="Heading2"/>
      </w:pPr>
      <w:r>
        <w:t>Frühe Palliativversorgung für afroamerikanische und rural wohnhafte Angehörige: Langzeitergebnisse</w:t>
      </w:r>
    </w:p>
    <w:p>
      <w:r>
        <w:rPr>
          <w:i/>
          <w:color w:val="666666"/>
          <w:sz w:val="18"/>
        </w:rPr>
        <w:t>Odom JN et al.  ·  J Natl Cancer Inst  ·  24.09.2026  ·  PMID 42786668</w:t>
      </w:r>
    </w:p>
    <w:p>
      <w:r>
        <w:t>Randomisierte Studie (ENABLE Cornerstone) bei 222 Angehörigen und 165 Patienten mit fortgeschrittenem Krebsleiden; Intervention: Laienkurs-geführte Palliativberatung für Pflegepersonen vs. Standardversorgung über 36–48 Wochen.</w:t>
      </w:r>
    </w:p>
    <w:p>
      <w:r>
        <w:rPr>
          <w:b/>
        </w:rPr>
        <w:t xml:space="preserve">Ergebnis: </w:t>
      </w:r>
      <w:r>
        <w:t>Pflegepersonen der Interventionsgruppe: niedrigere Anforderungsbelastung (Differenz −1,54; Cohen's d −0,41; p = 0,03) bei 36 Wochen. Patienten: niedriger depressive Symptome bei 36 Wochen (Differenz −1,53; p = 0,048) und bessere körperliche Lebensqualität bei 48 Wochen (Differenz +3,93; p = 0,02). Effekte bei Subgruppen mit strukturellen Zugangsbarrieren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unterrepräsentierte Bevölkerungsgruppen; Modell für deutsche Versorgungslücken anwendbar.</w:t>
      </w:r>
    </w:p>
    <w:p>
      <w:r>
        <w:rPr>
          <w:color w:val="5A7D3A"/>
          <w:sz w:val="18"/>
        </w:rPr>
        <w:t>https://pubmed.ncbi.nlm.nih.gov/42786668/</w:t>
      </w:r>
    </w:p>
    <w:p>
      <w:pPr>
        <w:pStyle w:val="Heading2"/>
      </w:pPr>
      <w:r>
        <w:t>Keramidsynthese und YAP-Signalweg treiben Kolonkarzinom-Metastasen</w:t>
      </w:r>
    </w:p>
    <w:p>
      <w:r>
        <w:rPr>
          <w:i/>
          <w:color w:val="666666"/>
          <w:sz w:val="18"/>
        </w:rPr>
        <w:t>Goswami S et al.  ·  Science  ·  24.09.2026  ·  PMID 42784694</w:t>
      </w:r>
    </w:p>
    <w:p>
      <w:r>
        <w:t>Mechanistische Studie in Zellsystemen und Tiermodellen zur Rolle von de-novo-Keramidsynthese, Desaturase Degs1 und YAP-Signalweg in der Initiierung von Kolorektalkarzinom-Metastasen unter Einfluss diätetischen Fetts.</w:t>
      </w:r>
    </w:p>
    <w:p>
      <w:r>
        <w:rPr>
          <w:b/>
        </w:rPr>
        <w:t xml:space="preserve">Ergebnis: </w:t>
      </w:r>
      <w:r>
        <w:t>Dietäres Fett löst anhaltende Keramidakkumulation aus → YAP-Aktivierung über PP2A-Dephosphorylierung → YAP-DR-Programm mit Basp1-Expression. Degs1-Knockout reduzierten Keramidspiegel, YAP-Aktivität und Metastasierung ohne Primärtumor-Wachstum zu beeinflussen. Basp1-high-Zellen waren erforderlich für Metastasierungsseeding.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Grundlagenarbeit; therapeutisches Ansatzpotential (Keramid-Inhibition) für klinische Translation.</w:t>
      </w:r>
    </w:p>
    <w:p>
      <w:r>
        <w:rPr>
          <w:color w:val="5A7D3A"/>
          <w:sz w:val="18"/>
        </w:rPr>
        <w:t>https://pubmed.ncbi.nlm.nih.gov/42784694/</w:t>
      </w:r>
    </w:p>
    <w:p>
      <w:pPr>
        <w:pStyle w:val="Heading2"/>
      </w:pPr>
      <w:r>
        <w:t>IDH-mutantes Gliom: Hirngeometrie und Hypoxie strukturieren Tumororganisation</w:t>
      </w:r>
    </w:p>
    <w:p>
      <w:r>
        <w:rPr>
          <w:i/>
          <w:color w:val="666666"/>
          <w:sz w:val="18"/>
        </w:rPr>
        <w:t>Hoefflin R et al.  ·  Cancer Cell  ·  14.09.2026  ·  PMID 42735681</w:t>
      </w:r>
    </w:p>
    <w:p>
      <w:r>
        <w:t>Räumlich-translationale Studie kombiniert Einzelzell-Proteomik und räumliche Transkriptomik bei IDH-mutierten Gliomen über alle Tumorgrade hinweg, um organisatorische Prinzipien von Tumorprogression zu identifizieren.</w:t>
      </w:r>
    </w:p>
    <w:p>
      <w:r>
        <w:rPr>
          <w:b/>
        </w:rPr>
        <w:t xml:space="preserve">Ergebnis: </w:t>
      </w:r>
      <w:r>
        <w:t>Frühe Tumore: anatomisch-getriebene Organisation an weiß-grauer Substanzgrenze, Oligodendrozyten-Vorläufer (OPC)-ähnliche Zellen preferenziell dort selektioniert. Intermediate Tumore: Desorganisation mit wenigen Zell-Wechselwirkungen. Hochtgradige: Hypoxie-assoziierte Struktur ähnlich IDH-Wildtyp-Glioblastom. Zwei unabhängige räumliche Organisationsachsen.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Europäisch-israelische Kooperation, Grundlagen für Zielpriorisierung bei Gliom-Therapie.</w:t>
      </w:r>
    </w:p>
    <w:p>
      <w:r>
        <w:rPr>
          <w:color w:val="5A7D3A"/>
          <w:sz w:val="18"/>
        </w:rPr>
        <w:t>https://pubmed.ncbi.nlm.nih.gov/42735681/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Adaptive Hoffnung in der Onkologie – Klinischer Rahmen für patientenzentrierte Kommunikation</w:t>
      </w:r>
    </w:p>
    <w:p>
      <w:r>
        <w:rPr>
          <w:i/>
          <w:color w:val="666666"/>
          <w:sz w:val="18"/>
        </w:rPr>
        <w:t>Cherny NI et al.  ·  ESMO Open  ·  24.07.2026  ·  PMID 42785913</w:t>
      </w:r>
    </w:p>
    <w:p>
      <w:r>
        <w:t>Narrative Übersichtsarbeit (Synthesis empirischer und konzeptioneller Literatur): Hope und Despair als zentrale, oft ko-existierende Dimensionen der Krebserfahrung – ihre Determinanten, klinischen Manifestationen und Implikationen für Kommunikation und Entscheidungsfindung über die Krankheitstrajectory.</w:t>
      </w:r>
    </w:p>
    <w:p>
      <w:r>
        <w:rPr>
          <w:b/>
        </w:rPr>
        <w:t xml:space="preserve">Ergebnis: </w:t>
      </w:r>
      <w:r>
        <w:t>Hoffnung ist dynamisches, multidimensionales Konstrukt, das sich über Zeit evolves – initial auf Heilung ausgerichtet, rekalibriert oft zu erreichbaren Zielen (Symptomkontrolle, Funktion, Sinnstiftung, Würde, spiritueller Frieden). Adaptive, realitätskongruente Hoffnung durch ehrliche, mitfühlende, relational fundierte Kommunikation nachhaltig. Klinische Competency: Psychospiritual-, Relational-, interdisziplinäre Approaches (empathische Kommunikation, Symptommanagement, Meaning-Centered Interventions, Dignity-Conserving Care).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Expert-Synthesis, direkt auf deutsches Gesundheitssystem übertragbar.</w:t>
      </w:r>
    </w:p>
    <w:p>
      <w:r>
        <w:rPr>
          <w:color w:val="5A7D3A"/>
          <w:sz w:val="18"/>
        </w:rPr>
        <w:t>https://pubmed.ncbi.nlm.nih.gov/42785913/</w:t>
      </w:r>
    </w:p>
    <w:p>
      <w:pPr>
        <w:pStyle w:val="Heading2"/>
      </w:pPr>
      <w:r>
        <w:t>Trastuzumab emtansine bei HER2+ extramammärer Paget-Erkrankung – 92,9% Ansprechrate</w:t>
      </w:r>
    </w:p>
    <w:p>
      <w:r>
        <w:rPr>
          <w:i/>
          <w:color w:val="666666"/>
          <w:sz w:val="18"/>
        </w:rPr>
        <w:t>Arakawa S et al.  ·  ESMO Open  ·  21.07.2026  ·  PMID 42785912</w:t>
      </w:r>
    </w:p>
    <w:p>
      <w:r>
        <w:t>Phase-II-Studie TEMENOS-2: 14 japanische Patienten mit HER2-positivem metastasiertem Paget-Karzinom (extramammär), Firstline Trastuzumab emtansine 3,6 mg/kg alle 3 Wochen bis 2 Jahre.</w:t>
      </w:r>
    </w:p>
    <w:p>
      <w:r>
        <w:rPr>
          <w:b/>
        </w:rPr>
        <w:t xml:space="preserve">Ergebnis: </w:t>
      </w:r>
      <w:r>
        <w:t>Objektive Ansprechquote (zentrale Bewertung) 92,9% [95% CI 66,1%–99,8%]: 2 komplette, 11 partielle Remissionen, 1 Progression. Median-PFS 16,95 Monate [95% CI 5,75–n.e.]. Median-OS nicht erreicht. Grade-3-Nebenwirkungen in 42,9%, keine ≥4. Erste prospektive Evidenz für HER2-dirigierte ADC in dieser Entität.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Studie, kleine Fallzahl (n=14); für Deutschland Übertragbarkeit HER2+ seltene Tumoren.</w:t>
      </w:r>
    </w:p>
    <w:p>
      <w:r>
        <w:rPr>
          <w:color w:val="5A7D3A"/>
          <w:sz w:val="18"/>
        </w:rPr>
        <w:t>https://pubmed.ncbi.nlm.nih.gov/42785912/</w:t>
      </w:r>
    </w:p>
    <w:p>
      <w:pPr>
        <w:pStyle w:val="Heading2"/>
      </w:pPr>
      <w:r>
        <w:t>Atezolizumab plus pertuzumab, trastuzumab, Chemotherapie – kein Vorteil für Gesamtüberleben</w:t>
      </w:r>
    </w:p>
    <w:p>
      <w:r>
        <w:rPr>
          <w:i/>
          <w:color w:val="666666"/>
          <w:sz w:val="18"/>
        </w:rPr>
        <w:t>Huober J et al.  ·  ESMO Open  ·  24.09.2026  ·  PMID 42785163</w:t>
      </w:r>
    </w:p>
    <w:p>
      <w:r>
        <w:t>Phase-III-Studie (IMpassion050): Neoadjuvante Atezolizumab-Addition zur Standard-Therapie bei HER2-positivem Frühbrustkrebs hohen Risikos – Intention-to-treat und PD-L1-positive Kohorte.</w:t>
      </w:r>
    </w:p>
    <w:p>
      <w:r>
        <w:rPr>
          <w:b/>
        </w:rPr>
        <w:t xml:space="preserve">Ergebnis: </w:t>
      </w:r>
      <w:r>
        <w:t>3-Jahres-Event-Free-Survival 91,4% (Atezolizumab) vs 89,0% (Placebo); Hazard Ratio 0,90 [95% CI 0,50–1,59]; 3-Jahres-Disease-Free-Survival 92,9% vs 88,5% (HR 0,71 [95% CI 0,38–1,32]). Keine signifikanten Unterschiede. Immuntherapie-assoziierte unerwünschte Ereignisse häufiger (59,4% vs 47,0%).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Multicenterstudie, deutsche Beteiligung, direkt anwendbar.</w:t>
      </w:r>
    </w:p>
    <w:p>
      <w:r>
        <w:rPr>
          <w:color w:val="5A7D3A"/>
          <w:sz w:val="18"/>
        </w:rPr>
        <w:t>https://pubmed.ncbi.nlm.nih.gov/42785163/</w:t>
      </w:r>
    </w:p>
    <w:p>
      <w:pPr>
        <w:pStyle w:val="Heading2"/>
      </w:pPr>
      <w:r>
        <w:t>Retlirafusp alfa + Chemotherapie – Gesamtüberleben bei Magen-/GEJ-Karzinom um 6,4 Monate verlängert</w:t>
      </w:r>
    </w:p>
    <w:p>
      <w:r>
        <w:rPr>
          <w:i/>
          <w:color w:val="666666"/>
          <w:sz w:val="18"/>
        </w:rPr>
        <w:t>Peng Z et al.  ·  J Clin Oncol  ·  24.09.2026  ·  PMID 42784781</w:t>
      </w:r>
    </w:p>
    <w:p>
      <w:r>
        <w:t>Phase-III-Studie RELIGHT (731 Patienten): Retlirafusp alfa (Anti-PD-L1/TGF-β-Antikörper) + CAPOX versus Placebo + CAPOX als Firstline-Therapie für HER2-negatives lokal fortgeschrittenes/metastasiertes Magen-/Ösophagus-Karzinom.</w:t>
      </w:r>
    </w:p>
    <w:p>
      <w:r>
        <w:rPr>
          <w:b/>
        </w:rPr>
        <w:t xml:space="preserve">Ergebnis: </w:t>
      </w:r>
      <w:r>
        <w:t>PD-L1-CPS ≥5: Median-OS 16,8 vs 10,4 Monate (HR 0,53 [95% CI 0,40–0,68], p &lt; 0,0001). ITT-Analyse: 15,8 vs 11,2 Monate (HR 0,66 [95% CI 0,53–0,81], p &lt; 0,0001). Median-PFS 7,6 vs 5,5 Monate (HR 0,52). Toxizität vergleichbar (Grade ≥3: 62,6% vs 59,0%).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(Versicherungssystem unterschiedlich); in Deutschland Vergleich zu PD-1-Inhibitor+Chemotherapie erforderlich.</w:t>
      </w:r>
    </w:p>
    <w:p>
      <w:r>
        <w:rPr>
          <w:color w:val="5A7D3A"/>
          <w:sz w:val="18"/>
        </w:rPr>
        <w:t>https://pubmed.ncbi.nlm.nih.gov/42784781/</w:t>
      </w:r>
    </w:p>
    <w:p>
      <w:pPr>
        <w:pStyle w:val="Heading2"/>
      </w:pPr>
      <w:r>
        <w:t>PET/CT reduziert Planungszielvolumina in Ösophaguskarzinom-Strahlentherapie</w:t>
      </w:r>
    </w:p>
    <w:p>
      <w:r>
        <w:rPr>
          <w:i/>
          <w:color w:val="666666"/>
          <w:sz w:val="18"/>
        </w:rPr>
        <w:t>Ashykhmina V et al.  ·  Strahlenther Onkol  ·  24.09.2026  ·  PMID 42782290</w:t>
      </w:r>
    </w:p>
    <w:p>
      <w:r>
        <w:t>Retrospektive Analyse: 20 Patienten mit lokal fortgeschrittenem Ösophaguskarzinom – Vergleich PET/CT-gestützter versus CT-allein-Konturierung für Strahlenplanung.</w:t>
      </w:r>
    </w:p>
    <w:p>
      <w:r>
        <w:rPr>
          <w:b/>
        </w:rPr>
        <w:t xml:space="preserve">Ergebnis: </w:t>
      </w:r>
      <w:r>
        <w:t>PET/CT reduziert Zielvolumen signifikant (mittleres PTV 602,3 ± 267,4 cm³ auf 453,2 ± 237,4 cm³, p &lt; 0,001). Lungen-V20 sank von 10,39 ± 1,23% auf 7,85 ± 1,18% (p = 0,001). Geometrische Unterschiede &gt;100 cm³ in 20% der Fälle. Interobserver-Variabilität beim PET/CT-Targeting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 (Magdeburg), prospektive Validierung erforderlich.</w:t>
      </w:r>
    </w:p>
    <w:p>
      <w:r>
        <w:rPr>
          <w:color w:val="5A7D3A"/>
          <w:sz w:val="18"/>
        </w:rPr>
        <w:t>https://pubmed.ncbi.nlm.nih.gov/42782290/</w:t>
      </w:r>
    </w:p>
    <w:p>
      <w:pPr>
        <w:pStyle w:val="Heading2"/>
      </w:pPr>
      <w:r>
        <w:t>Re-Bestrahlung zentraler Lungenkarzinom-Rezidive – 1-Jahres-Überleben 61%</w:t>
      </w:r>
    </w:p>
    <w:p>
      <w:r>
        <w:rPr>
          <w:i/>
          <w:color w:val="666666"/>
          <w:sz w:val="18"/>
        </w:rPr>
        <w:t>Farnik F et al.  ·  Strahlenther Onkol  ·  24.09.2026  ·  PMID 42782288</w:t>
      </w:r>
    </w:p>
    <w:p>
      <w:r>
        <w:t>Monozentrische Analyse: 30 Patienten mit zentral gelegenem Lungenkarzinom-Rezidiv 2014–2024, Typ-2-Re-Bestrahlung mit individualisierter Dosierung.</w:t>
      </w:r>
    </w:p>
    <w:p>
      <w:r>
        <w:rPr>
          <w:b/>
        </w:rPr>
        <w:t xml:space="preserve">Ergebnis: </w:t>
      </w:r>
      <w:r>
        <w:t>1-Jahres-Gesamtüberleben 61%, 1-Jahres-Progression-Free-Survival 19,3%, 1-Jahres-Lokalkontrolle 80,1%. Mediane EQD2 49,5 Gy. Nur ein Fall Grade-3-Spätkomplikation (Ösophagusstenose), gute Verträglichkeit. Alter &gt;65 Jahre einziger unabhängiger Prognosefaktor für besseres PFS.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Monocenterstudie (Erlangen), begrenzte Fallzahl.</w:t>
      </w:r>
    </w:p>
    <w:p>
      <w:r>
        <w:rPr>
          <w:color w:val="5A7D3A"/>
          <w:sz w:val="18"/>
        </w:rPr>
        <w:t>https://pubmed.ncbi.nlm.nih.gov/42782288/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BCG plus Immune Checkpoint Inhibitor erhöht systemische Toxizität bei Blasenkrebs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Metaanalyse von drei Phase-III-Studien (1.895 Patienten) zur Sicherheit intravesikaler BCG-Immunchemotherapie gegenüber BCG allein bei nicht-muskelinvasivem Harnblasenkarzinom.</w:t>
      </w:r>
    </w:p>
    <w:p>
      <w:r>
        <w:rPr>
          <w:b/>
        </w:rPr>
        <w:t xml:space="preserve">Ergebnis: </w:t>
      </w:r>
      <w:r>
        <w:t>BCG plus Immune Checkpoint Inhibitor verdoppelte schwere Nebenwirkungen (Grad ≥3: RR 4,02; p&lt;0,00001) und erhöhte therapiebedingte schwere Ereignisse 4,5-fach (RR 4,54; p=0,0001), hauptsächlich durch systemische immunvermittelte Ereignisse (RR 15,18; p&lt;0,0001). Lokale Blasensymptome ähnlich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Europa-Studie mit deutschen und österreichischen Zentren, direkt anwendbar</w:t>
      </w:r>
    </w:p>
    <w:p>
      <w:r>
        <w:rPr>
          <w:color w:val="5A7D3A"/>
          <w:sz w:val="18"/>
        </w:rPr>
        <w:t>https://pubmed.ncbi.nlm.nih.gov/42777327/</w:t>
      </w:r>
    </w:p>
    <w:p>
      <w:pPr>
        <w:pStyle w:val="Heading2"/>
      </w:pPr>
      <w:r>
        <w:t>FLOT plus Nivolumab bei Magenkrebse: Monocyten-Lymphozyten-Ratio identifiziert Profiteure</w:t>
      </w:r>
    </w:p>
    <w:p>
      <w:r>
        <w:rPr>
          <w:i/>
          <w:color w:val="666666"/>
          <w:sz w:val="18"/>
        </w:rPr>
        <w:t>Masetti M et al.  ·  Eur J Cancer  ·  10.09.2026  ·  PMID 42777290</w:t>
      </w:r>
    </w:p>
    <w:p>
      <w:r>
        <w:t>Extended Follow-up einer deutschen Multizenterstudie (Arm C: 52 Patienten mit mCRPC) zu FLOT-Chemotherapie plus Nivolumab mit Biomarker-Stratifizierung für Magenkarzinom.</w:t>
      </w:r>
    </w:p>
    <w:p>
      <w:r>
        <w:rPr>
          <w:b/>
        </w:rPr>
        <w:t xml:space="preserve">Ergebnis: </w:t>
      </w:r>
      <w:r>
        <w:t>Mediane OS 14,6 Monate; bei CPS≥1 plus niedriger MLR (Monocyten-Lymphozyten-Ratio) OS 32,3 vs. 7,4 Monate (p=0,044). NLR und MLR korrelierten mit Überleben; Schmerz verbesserte sich, Müdigkeit und körperliche Funktionsfähigkeit verschlechterten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aus 19 Zentren, vollständig übertragbar</w:t>
      </w:r>
    </w:p>
    <w:p>
      <w:r>
        <w:rPr>
          <w:color w:val="5A7D3A"/>
          <w:sz w:val="18"/>
        </w:rPr>
        <w:t>https://pubmed.ncbi.nlm.nih.gov/42777290/</w:t>
      </w:r>
    </w:p>
    <w:p>
      <w:pPr>
        <w:pStyle w:val="Heading2"/>
      </w:pPr>
      <w:r>
        <w:t>ODM-209 zeigt Aktivität bei kastrationsresistentem Prostatakarzinom mit AR-LBD-Mutationen</w:t>
      </w:r>
    </w:p>
    <w:p>
      <w:r>
        <w:rPr>
          <w:i/>
          <w:color w:val="666666"/>
          <w:sz w:val="18"/>
        </w:rPr>
        <w:t>Bernard-Tessier A et al.  ·  Eur J Cancer  ·  12.09.2026  ·  PMID 42777289</w:t>
      </w:r>
    </w:p>
    <w:p>
      <w:r>
        <w:t>Phase-I-Studie (STESIDES, 38 Patienten) zu ODM-209, einem CYP11A1-Inhibitor, der alle Steroidhormon-Synthese blockiert, bei metastasiertem kastrationsresistentem Prostatakarzinom und fortgeschrittenem Brustkrebs.</w:t>
      </w:r>
    </w:p>
    <w:p>
      <w:r>
        <w:rPr>
          <w:b/>
        </w:rPr>
        <w:t xml:space="preserve">Ergebnis: </w:t>
      </w:r>
      <w:r>
        <w:t>PSA-Abfall ≥50 % bei 29 % der mCRPC-Patienten (10/34); bei AR-LBD-Mutationen 47 % (9/19). Partielle klinische Remission bei 19 % (3/16). Häufigste Nebenwirkungen: Müdigkeit (53 %), periphere Ödeme (34 %); 8 % erlebten schwere Nebenwirkungen, 3 Fälle ernsthafte Nebenniereninsuffizienz (eine davon DLT).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Europäisch-finländische Studie, toxikologisches Profil übertragbar auf Deutschland</w:t>
      </w:r>
    </w:p>
    <w:p>
      <w:r>
        <w:rPr>
          <w:color w:val="5A7D3A"/>
          <w:sz w:val="18"/>
        </w:rPr>
        <w:t>https://pubmed.ncbi.nlm.nih.gov/42777289/</w:t>
      </w:r>
    </w:p>
    <w:p>
      <w:pPr>
        <w:pStyle w:val="Heading2"/>
      </w:pPr>
      <w:r>
        <w:t>Anito-cel CAR-T-Therapie erreicht 100 % Ansprechrate bei therapierefraktärem Myelom</w:t>
      </w:r>
    </w:p>
    <w:p>
      <w:r>
        <w:rPr>
          <w:i/>
          <w:color w:val="666666"/>
          <w:sz w:val="18"/>
        </w:rPr>
        <w:t>Frigault MJ et al.  ·  N Engl J Med  ·  24.09.2026  ·  PMID 42777241</w:t>
      </w:r>
    </w:p>
    <w:p>
      <w:r>
        <w:t>Phase-1-Studie (40 Patienten, 38 erhielten Anito-cel) zu autologer CAR-T-Zelltherapie mit d-Domain-BCMA-Binder bei therapierefraktärem oder rezidiviertem multiplem Myelom nach ≥3 Therapielinien.</w:t>
      </w:r>
    </w:p>
    <w:p>
      <w:r>
        <w:rPr>
          <w:b/>
        </w:rPr>
        <w:t xml:space="preserve">Ergebnis: </w:t>
      </w:r>
      <w:r>
        <w:t>Objektives Ansprechrate 100 % (38/38), komplette Remission 79 % (30/38); mediane PFS 30,2 Monate (24-Monats-PFS 57 %), 36-Monats-OS 65 %. CRS Grad 1–2 bei 94 % (beim empfohlenen Dosis-Level), kein Grad-≥3-CRS. ICANS Grad 1–2 bei 16 %, Grad 3 bei 3 % (1 Patient). Keine Neurotoxizität oder Off-Target-Effekte.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US-Zulassungsstudie, internationale Relevanz, Verfügbarkeit in Deutschland fraglich</w:t>
      </w:r>
    </w:p>
    <w:p>
      <w:r>
        <w:rPr>
          <w:color w:val="5A7D3A"/>
          <w:sz w:val="18"/>
        </w:rPr>
        <w:t>https://pubmed.ncbi.nlm.nih.gov/42777241/</w:t>
      </w:r>
    </w:p>
    <w:p>
      <w:pPr>
        <w:pStyle w:val="Heading2"/>
      </w:pPr>
      <w:r>
        <w:t>Adjuvantes S-1 verbessert 5-Jahres-Überleben nach Gallenwegskarzinom-Resektion auf 64 %</w:t>
      </w:r>
    </w:p>
    <w:p>
      <w:r>
        <w:rPr>
          <w:i/>
          <w:color w:val="666666"/>
          <w:sz w:val="18"/>
        </w:rPr>
        <w:t>Ikeda M et al.  ·  J Clin Oncol  ·  23.09.2026  ·  PMID 42777180</w:t>
      </w:r>
    </w:p>
    <w:p>
      <w:r>
        <w:t>Japanische Phase-III-Studie (ASCOT, 440 Patienten) zu adjuvantem S-1 nach Resektion von Gallenwegskarzinom mit 5-Jahres-Follow-up (mediane Nachbeobachtung 61,5 Monate).</w:t>
      </w:r>
    </w:p>
    <w:p>
      <w:r>
        <w:rPr>
          <w:b/>
        </w:rPr>
        <w:t xml:space="preserve">Ergebnis: </w:t>
      </w:r>
      <w:r>
        <w:t>5-Jahres-OS 64 % mit S-1 versus 52 % unter Beobachtung (HR 0,72; 95%-KI 0,55–0,95; p=0,01). Mediane OS 8,2 versus 5,9 Jahre. Mediane RFS 3,5 (S-1) versus 6,1 Jahre (Beobachtung). Behandlungseffekt über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Gesundheitssystem, internationales Standard-Chemotherapieschema, AMNOG-Nutzen möglich</w:t>
      </w:r>
    </w:p>
    <w:p>
      <w:r>
        <w:rPr>
          <w:color w:val="5A7D3A"/>
          <w:sz w:val="18"/>
        </w:rPr>
        <w:t>https://pubmed.ncbi.nlm.nih.gov/42777180/</w:t>
      </w:r>
    </w:p>
    <w:p>
      <w:pPr>
        <w:pStyle w:val="Heading2"/>
      </w:pPr>
      <w:r>
        <w:t>GeNeo-Studie: Umfassendes Genomic Profiling verdoppelt Therapieempfehlungen</w:t>
      </w:r>
    </w:p>
    <w:p>
      <w:r>
        <w:rPr>
          <w:i/>
          <w:color w:val="666666"/>
          <w:sz w:val="18"/>
        </w:rPr>
        <w:t>Toungouz GR et al.  ·  Eur J Cancer  ·  03.06.2026  ·  PMID 42773586</w:t>
      </w:r>
    </w:p>
    <w:p>
      <w:r>
        <w:t>Belgische Studie an 1.000 metastasierten oder lokal fortgeschrittenen Krebspatienten, Vergleich umfassendes Genomic Profiling (CGP) versus beschränkte lokale NGS-Panels im Rahmen der belgischen Präzisionsmedizin-Initiative.</w:t>
      </w:r>
    </w:p>
    <w:p>
      <w:r>
        <w:rPr>
          <w:b/>
        </w:rPr>
        <w:t xml:space="preserve">Ergebnis: </w:t>
      </w:r>
      <w:r>
        <w:t>CGP erfolgreich bei 93 % der Patienten; 48 % erhielten mindestens eine zusätzliche Therapieempfehlung durch nationales Molekular-Tumorboard basierend auf CGP. 61 % aller Patienten erhielten CGP-basierte Empfehlungen; 23 % davon erhalten die empfohlene Therapie (Blockage: Nichtverfügbarkeit 25 %, klinische Verschlechterung 24 %, Patientenwahl 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Sozialversicherungssystem, ähnlich deutschem Struktur und Zulassungswegen</w:t>
      </w:r>
    </w:p>
    <w:p>
      <w:r>
        <w:rPr>
          <w:color w:val="5A7D3A"/>
          <w:sz w:val="18"/>
        </w:rPr>
        <w:t>https://pubmed.ncbi.nlm.nih.gov/42773586/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