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12.09.2026  |  6 Studien  |  onkologie.m-vf.de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PRO-Symptommonitoring bei Lungenkrebspatienten verlängert Gesamtüberleben um 5 Monate</w:t>
      </w:r>
    </w:p>
    <w:p>
      <w:r>
        <w:rPr>
          <w:i/>
          <w:color w:val="666666"/>
          <w:sz w:val="18"/>
        </w:rPr>
        <w:t>Hassing MJ et al.  ·  Lancet Oncol  ·  11.09.2026  ·  PMID 42727592</w:t>
      </w:r>
    </w:p>
    <w:p>
      <w:r>
        <w:t>Randomisierte niederländische Studie (14 medizinische Zentren, Stepped-Wedge-Design) zur Wirkung wöchentlicher Online-Symptomselbstberichte auf Überleben bei Patienten mit Lung Cancer im Stadium I-IV unter Behandlung.</w:t>
      </w:r>
    </w:p>
    <w:p>
      <w:r>
        <w:rPr>
          <w:b/>
        </w:rPr>
        <w:t xml:space="preserve">Ergebnis: </w:t>
      </w:r>
      <w:r>
        <w:t>Bei 446 Patienten (median 50 Monate Follow-up): Median Overall Survival in der Intervention 26 Monate versus Kontrolle 21 Monate (Hazard Ratio 0,80; 95%-CI 0,63–1,00; p=0,049). Progression-Free Survival zeigte keinen signifikanten Unterschied (HR 0,86; p=0,18). Praxisrelevant: strukturierte Patient-Reported Outcomes ermöglichen 5-Monate-Gewinn bei aktuellen Therapien.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 mit Versorgungsauftrag ähnlich Deutschland</w:t>
      </w:r>
    </w:p>
    <w:p>
      <w:r>
        <w:rPr>
          <w:color w:val="5A7D3A"/>
          <w:sz w:val="18"/>
        </w:rPr>
        <w:t>https://pubmed.ncbi.nlm.nih.gov/42727592/</w:t>
      </w:r>
    </w:p>
    <w:p>
      <w:pPr>
        <w:pStyle w:val="Heading2"/>
      </w:pPr>
      <w:r>
        <w:t>Trastuzumab Botidotin gegenüber Trastuzumab Emtansine: 11,1 vs. 4,4 Monate progressionsfreies Überleben</w:t>
      </w:r>
    </w:p>
    <w:p>
      <w:r>
        <w:rPr>
          <w:i/>
          <w:color w:val="666666"/>
          <w:sz w:val="18"/>
        </w:rPr>
        <w:t>Zhang J et al.  ·  J Clin Oncol  ·  11.09.2026  ·  PMID 42727044</w:t>
      </w:r>
    </w:p>
    <w:p>
      <w:r>
        <w:t>Phase-III-Studie (365 Patienten, China, 57 Zentren) mit randomisierter Direktvergleich zweier HER2-gerichteter Antikörper-Wirkstoff-Konjugate bei vorbehandeltem HER2-positivem metastasiertem Brustkrebs.</w:t>
      </w:r>
    </w:p>
    <w:p>
      <w:r>
        <w:rPr>
          <w:b/>
        </w:rPr>
        <w:t xml:space="preserve">Ergebnis: </w:t>
      </w:r>
      <w:r>
        <w:t>Trastuzumab Botidotin vs. Trastuzumab Emtansine: medianes Progression-Free Survival 11,1 vs. 4,4 Monate (HR 0,39; p&lt;0,0001); Objective Response Rate 76,9% vs. 53,0%. Grade ≥3 unerwünschte Ereignisse 69,8% vs. 63,7%, höchste Inzidenz bei Augenoberflächen-Toxizität (47,7%), aber meist reversibel.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Botidotin hat EU-Zulassung; Übertragbarkeit für deutsche Zentren gegeben</w:t>
      </w:r>
    </w:p>
    <w:p>
      <w:r>
        <w:rPr>
          <w:color w:val="5A7D3A"/>
          <w:sz w:val="18"/>
        </w:rPr>
        <w:t>https://pubmed.ncbi.nlm.nih.gov/42727044/</w:t>
      </w:r>
    </w:p>
    <w:p>
      <w:pPr>
        <w:pStyle w:val="Heading2"/>
      </w:pPr>
      <w:r>
        <w:t>Lokale Therapie + Immune Checkpoint Inhibitor bei rezidiviertem/metastasiertem Nasopharynxkarzinom: 30,5 vs. 16,8 Monate PFS</w:t>
      </w:r>
    </w:p>
    <w:p>
      <w:r>
        <w:rPr>
          <w:i/>
          <w:color w:val="666666"/>
          <w:sz w:val="18"/>
        </w:rPr>
        <w:t>Chen X et al.  ·  Eur J Cancer  ·  27.08.2026  ·  PMID 42721861</w:t>
      </w:r>
    </w:p>
    <w:p>
      <w:r>
        <w:t>Retrospektive chinesische Studie (223 Patienten, Fudan University Shanghai) zum Vergleich von ICI allein versus lokale Therapie kombiniert mit ICI (LOCI) bei rezidiviertem oder metastasiertem Nasopharynxkarzinom; IPTW und Propensity-Score-Matching zur Confounding-Kontrolle.</w:t>
      </w:r>
    </w:p>
    <w:p>
      <w:r>
        <w:rPr>
          <w:b/>
        </w:rPr>
        <w:t xml:space="preserve">Ergebnis: </w:t>
      </w:r>
      <w:r>
        <w:t>Median Progression-Free Survival mit LOCI 30,53 Monate vs. ICI allein 16,77 Monate (HR 0,524; 95%-CI 0,339–0,785; log-rank p=0,0014). Benefit nach PSM und IPTW-Adjustment bestätigt. Bei lokalem Rezidiv oder Nodusbefall (LRR-NPC): verbessertes Distant-Metastasis-Free-Survival (HR 0,437). Bei Oligometastasen (≤3 Läsionen) ebenfalls PFS-Vorteil (HR 0,458; p=0,0416).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Strahlentherapie mit ICI-Standard auch europäisch; Real-World-Ansatz übertragbar</w:t>
      </w:r>
    </w:p>
    <w:p>
      <w:r>
        <w:rPr>
          <w:color w:val="5A7D3A"/>
          <w:sz w:val="18"/>
        </w:rPr>
        <w:t>https://pubmed.ncbi.nlm.nih.gov/42721861/</w:t>
      </w:r>
    </w:p>
    <w:p>
      <w:pPr>
        <w:pStyle w:val="Heading2"/>
      </w:pPr>
      <w:r>
        <w:t>EORTC QLQ-CHI: erste Lebensqualitätsskala speziell für Kinder mit Krebs (8–14 Jahre)</w:t>
      </w:r>
    </w:p>
    <w:p>
      <w:r>
        <w:rPr>
          <w:i/>
          <w:color w:val="666666"/>
          <w:sz w:val="18"/>
        </w:rPr>
        <w:t>Vetrano C et al.  ·  Eur J Cancer  ·  05.10.2026  ·  PMID 42685381</w:t>
      </w:r>
    </w:p>
    <w:p>
      <w:r>
        <w:t>Mixed-Methods-Studie (Phasen I/II) zur Entwicklung eines EORTC-Fragebogenmoduls; 47 Kinder, 45 Eltern, 22 Fachleute aus 6 Ländern; Leitlinien der EORTC Quality-of-Life Group.</w:t>
      </w:r>
    </w:p>
    <w:p>
      <w:r>
        <w:rPr>
          <w:b/>
        </w:rPr>
        <w:t xml:space="preserve">Ergebnis: </w:t>
      </w:r>
      <w:r>
        <w:t>57 Schlüsselprobleme identifiziert aus 1.200+ initial bewerteten Aspekten (Vergleich Kinder-, Eltern- und Fachperspektive). Kinder präferierten 4 Antwortoptionen (70,0%) und kürzere Recall-Periode (43,3%). Fragebogen mit 50 Items in zwei Skalenbereiche eingeteilt: symptomorientiert und psychosozial. Nächste Schritte: Pilottestung (Phase III/IV), Validierung.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Netzwerk (EORTC), Grundlage für standardisierte Erfassung in Zentren</w:t>
      </w:r>
    </w:p>
    <w:p>
      <w:r>
        <w:rPr>
          <w:color w:val="5A7D3A"/>
          <w:sz w:val="18"/>
        </w:rPr>
        <w:t>https://pubmed.ncbi.nlm.nih.gov/42685381/</w:t>
      </w:r>
    </w:p>
    <w:p>
      <w:pPr>
        <w:pStyle w:val="Heading2"/>
      </w:pPr>
      <w:r>
        <w:t>Tislelizumab + Chemotherapie bei Ösophaguskarzinom: 45-Monate-Überleben</w:t>
      </w:r>
    </w:p>
    <w:p>
      <w:r>
        <w:rPr>
          <w:i/>
          <w:color w:val="666666"/>
          <w:sz w:val="18"/>
        </w:rPr>
        <w:t>Tougeron D et al.  ·  ESMO Open  ·  27.08.2026  ·  PMID 42659894</w:t>
      </w:r>
    </w:p>
    <w:p>
      <w:r>
        <w:t>Randomisierte Phase-III-Studie (RATIONALE-306) mit 649 Patienten weltweit; Analyse der Subgruppe mit PD-L1 Tumor Area Positivity ≥5% im Langzeit-Follow-up.</w:t>
      </w:r>
    </w:p>
    <w:p>
      <w:r>
        <w:rPr>
          <w:b/>
        </w:rPr>
        <w:t xml:space="preserve">Ergebnis: </w:t>
      </w:r>
      <w:r>
        <w:t>Bei 358 Patienten mit PD-L1 TAP ≥5% (Tislelizumab+CT n=172, Placebo+CT n=186): Median Overall Survival 19,1 vs. 10,0 Monate (HR 0,61); Progression-Free Survival 8,2 vs. 5,5 Monate (HR 0,50); Objektive Ansprechrate 71,5% vs. 41,4%. Haltbarkeit über 45 Monate bestätigt; Sicherheitsprofil unverändert.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Therapie europäisch zugelassen (EMA-Empfehlung PD-L1-Stratifizierung)</w:t>
      </w:r>
    </w:p>
    <w:p>
      <w:r>
        <w:rPr>
          <w:color w:val="5A7D3A"/>
          <w:sz w:val="18"/>
        </w:rPr>
        <w:t>https://pubmed.ncbi.nlm.nih.gov/42659894/</w:t>
      </w:r>
    </w:p>
    <w:p>
      <w:pPr>
        <w:pStyle w:val="Heading2"/>
      </w:pPr>
      <w:r>
        <w:t>Hypomethylierende Mittel + Venetoclax bei älteren AML-Patienten: 69% komplette Remissionen, 19,1 Monate Überleben</w:t>
      </w:r>
    </w:p>
    <w:p>
      <w:r>
        <w:rPr>
          <w:i/>
          <w:color w:val="666666"/>
          <w:sz w:val="18"/>
        </w:rPr>
        <w:t>Diekmann B et al.  ·  Eur J Cancer  ·  05.10.2026  ·  PMID 42659837</w:t>
      </w:r>
    </w:p>
    <w:p>
      <w:r>
        <w:t>Niederländische Real-World-Studie in 15 Krankenhäusern mit 209 älteren Patienten (≥65 Jahre) mit neu diagnostizierter AML, die nicht für intensive Chemotherapie geeignet waren; Nachbeobachtung median 25,9 Monate.</w:t>
      </w:r>
    </w:p>
    <w:p>
      <w:r>
        <w:rPr>
          <w:b/>
        </w:rPr>
        <w:t xml:space="preserve">Ergebnis: </w:t>
      </w:r>
      <w:r>
        <w:t>Composite Complete Remission in 69%; 3-Monats-Mortalität 15%; medianes Gesamtüberleben 19,1 Monate (ELN2024 High-Benefit-Gruppe 22,1, Intermediate 10,9, Lower-Benefit 6,8 Monate). Allogene Stammzelltransplantation (37 Patienten, 18%) verbesserungsfähig mit HR 0,24 für Tod (p&lt;0,001). Antifungale Agenten in 72% der ersten Zyklen assoziiert mit reduzierter Mortalität (HR 0,605; p=0,010).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Niederländisches Versicherungssystem, vergleichbar Deutschland; Dosierungsoptimierung und Wechselwirkungen reduzieren Kosten</w:t>
      </w:r>
    </w:p>
    <w:p>
      <w:r>
        <w:rPr>
          <w:color w:val="5A7D3A"/>
          <w:sz w:val="18"/>
        </w:rPr>
        <w:t>https://pubmed.ncbi.nlm.nih.gov/42659837/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2026-09-12T06:00:00Z</dcterms:created>
  <dcterms:modified xsi:type="dcterms:W3CDTF">2026-09-12T06:00:00Z</dcterms:modified>
  <cp:category/>
</cp:coreProperties>
</file>