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12.09.2026  |  18 Studien  |  onkologie.m-vf.de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