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Onkologie</w:t>
      </w:r>
    </w:p>
    <w:p>
      <w:r>
        <w:rPr>
          <w:i/>
          <w:color w:val="666666"/>
          <w:sz w:val="18"/>
        </w:rPr>
        <w:t>Stand: 05.10.2026  |  6 Studien  |  onkologie.m-vf.de</w:t>
      </w:r>
    </w:p>
    <w:p>
      <w:pPr>
        <w:pStyle w:val="Heading1"/>
      </w:pPr>
      <w:r>
        <w:t>Aufgenommen am 05.10.2026</w:t>
      </w:r>
    </w:p>
    <w:p>
      <w:pPr>
        <w:pStyle w:val="Heading2"/>
      </w:pPr>
      <w:r>
        <w:t>3D-DNA-Architektur in IDH1- und DNMT3A-mutanter AML identifiziert IGF1R- und MAPK-Vulnerabilität</w:t>
      </w:r>
    </w:p>
    <w:p>
      <w:r>
        <w:rPr>
          <w:i/>
          <w:color w:val="666666"/>
          <w:sz w:val="18"/>
        </w:rPr>
        <w:t>Steinhäuser S et al.  ·  Leukemia  ·  01.10.2026  ·  PMID 42823507</w:t>
      </w:r>
    </w:p>
    <w:p>
      <w:r>
        <w:t>Deutsche Studie an Primärproben von AML-Patienten, die mutations-spezifische Veränderungen der 3D-Genom-Architektur analysierte und damit verbundene therapeutische Targets identifizierte.</w:t>
      </w:r>
    </w:p>
    <w:p>
      <w:r>
        <w:rPr>
          <w:b/>
        </w:rPr>
        <w:t xml:space="preserve">Ergebnis: </w:t>
      </w:r>
      <w:r>
        <w:t>IDH1-mutante AML zeigte Sensitivität gegen IGF1R-Inhibitor BMS-754807, DNMT3A-mutante AML gegen p38/MAPK-Inhibitor ralimetinib. Die 3D-DNA-Konformationsveränderungen waren spezifisch für die Mutationen und wurden in Zelllinien und Patientenproben bestätigt.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Universitätsklinika (Kiel, Dresden, Berlin), identifiziert Therapieoptionen für AML-Subtypen</w:t>
      </w:r>
    </w:p>
    <w:p>
      <w:r>
        <w:rPr>
          <w:color w:val="5A7D3A"/>
          <w:sz w:val="18"/>
        </w:rPr>
        <w:t>https://pubmed.ncbi.nlm.nih.gov/42823507/</w:t>
      </w:r>
    </w:p>
    <w:p>
      <w:pPr>
        <w:pStyle w:val="Heading2"/>
      </w:pPr>
      <w:r>
        <w:t>Rassische Disparitäten in der Behandlung von Myelom-Knochenschaden: Afroamerikaner erhalten weniger BMAs</w:t>
      </w:r>
    </w:p>
    <w:p>
      <w:r>
        <w:rPr>
          <w:i/>
          <w:color w:val="666666"/>
          <w:sz w:val="18"/>
        </w:rPr>
        <w:t>Irimia RM et al.  ·  JCO Oncol Pract  ·  01.10.2026  ·  PMID 42821828</w:t>
      </w:r>
    </w:p>
    <w:p>
      <w:r>
        <w:t>Retrospektive Kohortenstudie an 350 neu diagnostizierten Myelompatienten (149 Afroamerikaner, 201 Weiße) zum Vergleich von Knochenereignissen und knochenmodifizierender Therapie im ersten Jahr nach Diagnose.</w:t>
      </w:r>
    </w:p>
    <w:p>
      <w:r>
        <w:rPr>
          <w:b/>
        </w:rPr>
        <w:t xml:space="preserve">Ergebnis: </w:t>
      </w:r>
      <w:r>
        <w:t>Afroamerikaner erhielten im ersten Jahr signifikant weniger knochenmodifizierende Agenzien (BMA): 64% vs. 77% (p=0,013), Mediandosen 5 vs. 7/Jahr (p&lt;0,001). Bei frühen Knochenereignissen (&lt;peridiagnostisch) waren Afroamerikaner weniger wahrscheinlich, ≥4 BMA-Dosen zu erhalten (46% vs. 76%, p&lt;0,001). Kumulatives SRE-Risiko post-peridiagnostisch unterschied sich nicht (16% vs. 21%, p=0,24).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USA-Zentren, aber Erkenntnis zu Therapiedisparitäten und Unterbehandlung relevant für deutsche Versorgungsqualität</w:t>
      </w:r>
    </w:p>
    <w:p>
      <w:r>
        <w:rPr>
          <w:color w:val="5A7D3A"/>
          <w:sz w:val="18"/>
        </w:rPr>
        <w:t>https://pubmed.ncbi.nlm.nih.gov/42821828/</w:t>
      </w:r>
    </w:p>
    <w:p>
      <w:pPr>
        <w:pStyle w:val="Heading2"/>
      </w:pPr>
      <w:r>
        <w:t>Nivolumab + Ipilimumab + Strahlentherapie in mikrosatellit-stabiler CRC: ORR 10%, aber 25% bei Patienten ohne Lebermetastasen</w:t>
      </w:r>
    </w:p>
    <w:p>
      <w:r>
        <w:rPr>
          <w:i/>
          <w:color w:val="666666"/>
          <w:sz w:val="18"/>
        </w:rPr>
        <w:t>Pappas L et al.  ·  Clin Cancer Res  ·  01.10.2026  ·  PMID 42820689</w:t>
      </w:r>
    </w:p>
    <w:p>
      <w:r>
        <w:t>US-amerikanische Phase-II-Studie zur Kombination von Immune-Checkpoint-Inhibitoren mit nicht-ablativer Strahlentherapie bei refraktärer mikrosatellit-stabiler metastasierter CRC.</w:t>
      </w:r>
    </w:p>
    <w:p>
      <w:r>
        <w:rPr>
          <w:b/>
        </w:rPr>
        <w:t xml:space="preserve">Ergebnis: </w:t>
      </w:r>
      <w:r>
        <w:t>30 Patienten eingeschlossen: Gesamtansprechrate 10,0%, Krankheitskontrollrate 33,3% (unbestrahlte Läsionen). Bei Patienten ohne aktive Lebermetastasen (n=8) ORR 25%, bei Lebermetastasen (n=22) ORR 4,6%. Mediane PFS 2,4 Monate, mediane OS 12,8 Monate (95% KI 6,8–17,9). Nur 10% Grad-4-Toxizität (Lymphopenie).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USA-Zentren, Mechanismus (Strahlentherapie + ICI) auf deutsche Zentren übertragbar</w:t>
      </w:r>
    </w:p>
    <w:p>
      <w:r>
        <w:rPr>
          <w:color w:val="5A7D3A"/>
          <w:sz w:val="18"/>
        </w:rPr>
        <w:t>https://pubmed.ncbi.nlm.nih.gov/42820689/</w:t>
      </w:r>
    </w:p>
    <w:p>
      <w:pPr>
        <w:pStyle w:val="Heading2"/>
      </w:pPr>
      <w:r>
        <w:t>TROP2-ADC F0024 in triple-negativer Brustkrebs: ORR 37,9% bei 10 mg/kg, mediane PFS 10,5 Monate</w:t>
      </w:r>
    </w:p>
    <w:p>
      <w:r>
        <w:rPr>
          <w:i/>
          <w:color w:val="666666"/>
          <w:sz w:val="18"/>
        </w:rPr>
        <w:t>Du Y et al.  ·  Eur J Cancer  ·  24.09.2026  ·  PMID 42810148</w:t>
      </w:r>
    </w:p>
    <w:p>
      <w:r>
        <w:t>Phase-I-Studie mit Dosisexpansion eines TROP2-gerichteten Antikörper-Wirkstoff-Konjugats in fortgeschrittenen Tumoren, Fokus triple-negative Brustkrebs (TNBC).</w:t>
      </w:r>
    </w:p>
    <w:p>
      <w:r>
        <w:rPr>
          <w:b/>
        </w:rPr>
        <w:t xml:space="preserve">Ergebnis: </w:t>
      </w:r>
      <w:r>
        <w:t>Bei 10 mg/kg (empfohlene Phase-II-Dosis): ORR 37,9%, mediane PFS 10,5 Monate in TNBC-Kohorte (n=29). Grad-≥3-Nebenwirkungen bei 57,7% (vorwiegend Hämatotoxizität). Dosiseskalation bei 15 mg/kg wegen kumulativer Toxizität gestoppt.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Wirkmuster und Sicherheitsprofil für Phase-II-Planung international relevant</w:t>
      </w:r>
    </w:p>
    <w:p>
      <w:r>
        <w:rPr>
          <w:color w:val="5A7D3A"/>
          <w:sz w:val="18"/>
        </w:rPr>
        <w:t>https://pubmed.ncbi.nlm.nih.gov/42810148/</w:t>
      </w:r>
    </w:p>
    <w:p>
      <w:pPr>
        <w:pStyle w:val="Heading2"/>
      </w:pPr>
      <w:r>
        <w:t>Zugang zu klinischen Studien bei Nierenzellkarzinom: Innovation erreicht unterversorgte Gemeinschaften nicht</w:t>
      </w:r>
    </w:p>
    <w:p>
      <w:r>
        <w:rPr>
          <w:i/>
          <w:color w:val="666666"/>
          <w:sz w:val="18"/>
        </w:rPr>
        <w:t>Nandakumar V et al.  ·  JCO Oncol Pract  ·  29.09.2026  ·  PMID 42809806</w:t>
      </w:r>
    </w:p>
    <w:p>
      <w:r>
        <w:t>Qualitative Analyse der Barrieren für den Zugang zu klinischen Studien bei Nierenzellkarzinom in den USA, mit Fokus auf strukturelle und sozioökonomische Ungleichheiten.</w:t>
      </w:r>
    </w:p>
    <w:p>
      <w:r>
        <w:rPr>
          <w:b/>
        </w:rPr>
        <w:t xml:space="preserve">Ergebnis: </w:t>
      </w:r>
      <w:r>
        <w:t>Identifizierte Schlüsselbarrieren: geografische Distanz, finanzielle Belastung, mangelnde Informationen, Transportprobleme und systeminterne Aufnahmekriterien. Unterrepräsentierte Patienten hatten deutlich niedrigere Teilnahmeraten. Patienten in ländlichen Gegenden und mit niedrigerem Einkommen waren systematisch ausgeschlossen.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USA-System, aber Erkenntnisse zu Zugangsungleichheiten gelten teilweise für deutsche Versorgungsregionen</w:t>
      </w:r>
    </w:p>
    <w:p>
      <w:r>
        <w:rPr>
          <w:color w:val="5A7D3A"/>
          <w:sz w:val="18"/>
        </w:rPr>
        <w:t>https://pubmed.ncbi.nlm.nih.gov/42809806/</w:t>
      </w:r>
    </w:p>
    <w:p>
      <w:pPr>
        <w:pStyle w:val="Heading2"/>
      </w:pPr>
      <w:r>
        <w:t>Sentinelbiopsie nach Neoadjuvanz bei lokal fortgeschrittener Brustkrebs: Falsch-negativ-Rate 2,1%</w:t>
      </w:r>
    </w:p>
    <w:p>
      <w:r>
        <w:rPr>
          <w:i/>
          <w:color w:val="666666"/>
          <w:sz w:val="18"/>
        </w:rPr>
        <w:t>Barrio AV et al.  ·  J Clin Oncol  ·  29.09.2026  ·  PMID 42809799</w:t>
      </w:r>
    </w:p>
    <w:p>
      <w:r>
        <w:t>Prospektive US-amerikanische Studie zum Staging der Axilla mittels Sentinelbiopsie nach neoadjuvanter Chemotherapie bei Patientinnen mit lokal fortgeschrittenem Brustkrebs (cT4/cN2-N3).</w:t>
      </w:r>
    </w:p>
    <w:p>
      <w:r>
        <w:rPr>
          <w:b/>
        </w:rPr>
        <w:t xml:space="preserve">Ergebnis: </w:t>
      </w:r>
      <w:r>
        <w:t>Von 145 Patienten wurden 87 mit adäquatem Mapping ausgewertet; Sentinelknoten wurden in 74% identifiziert. Falsch-negativ-Rate 2,1% (95% KI 0,1–12,7%), pathologische komplette Response 46%, nur 1 falsch-negativ in 47 Patienten mit Resterkrankung.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USA-Zentren, aber Sentinelbiopsie-Standard übertragbar auf deutsche Zentren</w:t>
      </w:r>
    </w:p>
    <w:p>
      <w:r>
        <w:rPr>
          <w:color w:val="5A7D3A"/>
          <w:sz w:val="18"/>
        </w:rPr>
        <w:t>https://pubmed.ncbi.nlm.nih.gov/42809799/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Onkologie</dc:title>
  <dc:subject/>
  <dc:creator>Monitor Versorgungsforschung</dc:creator>
  <cp:keywords/>
  <dc:description>generated by python-docx</dc:description>
  <cp:lastModifiedBy/>
  <cp:revision>1</cp:revision>
  <dcterms:created xsi:type="dcterms:W3CDTF">2026-10-05T06:00:00Z</dcterms:created>
  <dcterms:modified xsi:type="dcterms:W3CDTF">2026-10-05T06:00:00Z</dcterms:modified>
  <cp:category/>
</cp:coreProperties>
</file>