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Onkologie</w:t>
      </w:r>
    </w:p>
    <w:p>
      <w:r>
        <w:rPr>
          <w:i/>
          <w:color w:val="666666"/>
          <w:sz w:val="18"/>
        </w:rPr>
        <w:t>Stand: 19.09.2026  |  7 Studien  |  onkologie.m-vf.de</w:t>
      </w:r>
    </w:p>
    <w:p>
      <w:pPr>
        <w:pStyle w:val="Heading1"/>
      </w:pPr>
      <w:r>
        <w:t>Aufgenommen am 19.09.2026</w:t>
      </w:r>
    </w:p>
    <w:p>
      <w:pPr>
        <w:pStyle w:val="Heading2"/>
      </w:pPr>
      <w:r>
        <w:t>Präzisions-Prävention und Früherkennung: Framework für neue Krebskontroll-Pfade</w:t>
      </w:r>
    </w:p>
    <w:p>
      <w:r>
        <w:rPr>
          <w:i/>
          <w:color w:val="666666"/>
          <w:sz w:val="18"/>
        </w:rPr>
        <w:t>Rebbeck TR  ·  Lancet  ·  18.09.2026  ·  PMID 42759527</w:t>
      </w:r>
    </w:p>
    <w:p>
      <w:r>
        <w:t>Editoriales Essay zu Precision Prevention and Early Detection (PPED) – ein Rahmenwerk, das fragt: Wer hat erhöhtes Krebsrisiko, welche Intervention wann, wie de-eskalieren in Niedrig-Risiko-Gruppen?</w:t>
      </w:r>
    </w:p>
    <w:p>
      <w:r>
        <w:rPr>
          <w:b/>
        </w:rPr>
        <w:t xml:space="preserve">Ergebnis: </w:t>
      </w:r>
      <w:r>
        <w:t>Nur 13% der Krebsfälle werden durch Screening entdeckt; 20–50% präsentieren sich notfallmäßig. PPED-Logik funktioniert bei erblichen Syndromen mit ausreichend angereichertem Risiko. Schlüssel: Gesundheitssystem-Infrastruktur und Arbeitskräfte für longitudinales Präventions-Planning; de-Eskalation in Niedrig-Risiko-Personen genauso wichtig wie Intensivierung in Hoch-Risiko. Größte Herausforderung der nächsten Dekade.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Weltweit anwendbare Prinzipien; deutsche Früherkennung und Zentrenstruktur ermöglichen Umsetzung.</w:t>
      </w:r>
    </w:p>
    <w:p>
      <w:r>
        <w:rPr>
          <w:color w:val="5A7D3A"/>
          <w:sz w:val="18"/>
        </w:rPr>
        <w:t>https://pubmed.ncbi.nlm.nih.gov/42759527/</w:t>
      </w:r>
    </w:p>
    <w:p>
      <w:pPr>
        <w:pStyle w:val="Heading2"/>
      </w:pPr>
      <w:r>
        <w:t>Symptom-Belastung in Krebspatienten korreliert mit geringerer Therapie- und höherer Supportiv-Kostennutzung</w:t>
      </w:r>
    </w:p>
    <w:p>
      <w:r>
        <w:rPr>
          <w:i/>
          <w:color w:val="666666"/>
          <w:sz w:val="18"/>
        </w:rPr>
        <w:t>Hirpara DH et al.  ·  J Clin Oncol  ·  18.09.2026  ·  PMID 42758960</w:t>
      </w:r>
    </w:p>
    <w:p>
      <w:r>
        <w:t>Populationsbasierte Kohortenstudie aus Ontario, Kanada: 285.924 Krebspatienten mit 1.728.025 ESAS-Assessments (Edmonton Symptom Assessment) zur Assoziation zwischen Patient-Reported Outcomes und Gesundheitskosten.</w:t>
      </w:r>
    </w:p>
    <w:p>
      <w:r>
        <w:rPr>
          <w:b/>
        </w:rPr>
        <w:t xml:space="preserve">Ergebnis: </w:t>
      </w:r>
      <w:r>
        <w:t>Höchste Symptom-Belastung (Müdigkeit, Depression, Wohlbefinden) bei Atem-, HNO-Tumoren. Jede 10-Punkte-Zunahme ESAS-Score: 9,4% weniger Krebs-Therapiekosten (sinkende Therapie-Nutzung), aber 18% mehr Supportiv-Care-Kosten (mehr ED-Besuche, Hauscare). GI/Mamma/ZNS teuerste Entitäten (85–78k CAD/30 Tage). Aktives Symptom-Management könnte Krebs-Therapien fördern und unnötige Supportiv-Kosten senken.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ähnliches Versicherungssystem wie Deutschland; Symptom-Management-Evidenz direkt relevant.</w:t>
      </w:r>
    </w:p>
    <w:p>
      <w:r>
        <w:rPr>
          <w:color w:val="5A7D3A"/>
          <w:sz w:val="18"/>
        </w:rPr>
        <w:t>https://pubmed.ncbi.nlm.nih.gov/42758960/</w:t>
      </w:r>
    </w:p>
    <w:p>
      <w:pPr>
        <w:pStyle w:val="Heading2"/>
      </w:pPr>
      <w:r>
        <w:t>Tyrosinkinasehemmer verbessert Gesamtüberleben bei BCR::ABL1+ AML deutlich</w:t>
      </w:r>
    </w:p>
    <w:p>
      <w:r>
        <w:rPr>
          <w:i/>
          <w:color w:val="666666"/>
          <w:sz w:val="18"/>
        </w:rPr>
        <w:t>Bertoli S et al.  ·  Blood  ·  18.09.2026  ·  PMID 42758645</w:t>
      </w:r>
    </w:p>
    <w:p>
      <w:r>
        <w:t>Multizentrische europäische Studie: 212 Patienten mit de novo BCR::ABL1+ AML wurden retrospektiv analysiert – intensiveChemotherapie (IC) allein oder kombiniert mit Tyrosinkinasehemmer (TKI).</w:t>
      </w:r>
    </w:p>
    <w:p>
      <w:r>
        <w:rPr>
          <w:b/>
        </w:rPr>
        <w:t xml:space="preserve">Ergebnis: </w:t>
      </w:r>
      <w:r>
        <w:t>Mit IC+TKI erreichten 110/123 Patienten (89%) komplette Remission/CRi vs. 52/77 (68%) mit IC allein (p&lt;0,0001). 5-Jahres-Gesamtüberleben: 62,9% (IC+TKI) vs. 38,5% (IC; p&lt;0,0001). Im multivariaten Modell: Odds Ratio für CR/CRi 4,74 (95%-KI 2,17–10,35), Hazard Ratio für Überleben 0,40 (0,27–0,62; p&lt;0,001). TKI-Zusatz ist unabhängiger prognostischer Faktor.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Französisch-deutsches Konsortium, europäische Versicherungssysteme, direkt übertragbar auf deutsche Kliniken.</w:t>
      </w:r>
    </w:p>
    <w:p>
      <w:r>
        <w:rPr>
          <w:color w:val="5A7D3A"/>
          <w:sz w:val="18"/>
        </w:rPr>
        <w:t>https://pubmed.ncbi.nlm.nih.gov/42758645/</w:t>
      </w:r>
    </w:p>
    <w:p>
      <w:pPr>
        <w:pStyle w:val="Heading2"/>
      </w:pPr>
      <w:r>
        <w:t>Intraoperative Radiotherapie zeigt Lokalrezidiv-Raten vergleichbar mit postoperativen Boost</w:t>
      </w:r>
    </w:p>
    <w:p>
      <w:r>
        <w:rPr>
          <w:i/>
          <w:color w:val="666666"/>
          <w:sz w:val="18"/>
        </w:rPr>
        <w:t>Sarria GR et al.  ·  Strahlenther Onkol  ·  17.09.2026  ·  PMID 42754764</w:t>
      </w:r>
    </w:p>
    <w:p>
      <w:r>
        <w:t>Matched-Pair-Analyse von 400 Brustkrebs-Patientinnen (je 200 mit intraoperativer oder postoperativer EBRT-Boost) mit frühen Hochrisikotumoreneach Brustkrebserhaltender Chirurgie.</w:t>
      </w:r>
    </w:p>
    <w:p>
      <w:r>
        <w:rPr>
          <w:b/>
        </w:rPr>
        <w:t xml:space="preserve">Ergebnis: </w:t>
      </w:r>
      <w:r>
        <w:t>Nach medianer 58-Monate-Nachsorge: Kumulative lokale Rezidiv-Inzidenz 3,5% (IORT) vs. 2,0% (EBRT); HR 1,80 (95%-KI 0,58–5,58; p=0,312, nicht signifikant). Keine Unterschiede bei Lymphknoten-, Fernmetastasen-freiem Überleben oder Gesamtüberleben (alle p&gt;0,6). IORT ist wirksame, gut verträgliche Alternative ohne Kompromisse im Langzeit-Onkologie.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und europäische Zentren, Versicherungssystem unabhängig, direkt übertragbar.</w:t>
      </w:r>
    </w:p>
    <w:p>
      <w:r>
        <w:rPr>
          <w:color w:val="5A7D3A"/>
          <w:sz w:val="18"/>
        </w:rPr>
        <w:t>https://pubmed.ncbi.nlm.nih.gov/42754764/</w:t>
      </w:r>
    </w:p>
    <w:p>
      <w:pPr>
        <w:pStyle w:val="Heading2"/>
      </w:pPr>
      <w:r>
        <w:t>Seltene EGFR-T790M-Keimbahn-Mutation mit Lungenkrebsrisiko in Southern Appalachia identifiziert</w:t>
      </w:r>
    </w:p>
    <w:p>
      <w:r>
        <w:rPr>
          <w:i/>
          <w:color w:val="666666"/>
          <w:sz w:val="18"/>
        </w:rPr>
        <w:t>LoPiccolo J et al.  ·  Science  ·  17.09.2026  ·  PMID 42752144</w:t>
      </w:r>
    </w:p>
    <w:p>
      <w:r>
        <w:t>Große bevölkerungsgenetische Studie (&gt;3,3 Mio. Personen) zur Assoziation der EGFR-T790M-Variante mit Lungenkrebsrisiko.</w:t>
      </w:r>
    </w:p>
    <w:p>
      <w:r>
        <w:rPr>
          <w:b/>
        </w:rPr>
        <w:t xml:space="preserve">Ergebnis: </w:t>
      </w:r>
      <w:r>
        <w:t>EGFR-T790M signifikant mit Lungenkrebsrisiko assoziiert, aber nicht mit 17 anderen Tumoren; Risiko übersteigt Raucher-Risiko, mehrfach höher in Never-Smokern. Geografisch/ancestral: höhere Prävalenz in USA (Southern-Appalachian-Founder-Event 200–225 Jahre ago, Herkunft britisch/irisch). Prävalenz regional deutlich erhöht, betrifft britische, irische und afrikanische Abstammung. Erkannte Hochrisiko-Träger ermöglichen gezielte genetische Tests und Screening-Strategien.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Transatlantische Studie, Angloamerika-Fokus; für Deutschland gering: regionale Appalachian-Founder-Effekt USA-spezifisch.</w:t>
      </w:r>
    </w:p>
    <w:p>
      <w:r>
        <w:rPr>
          <w:color w:val="5A7D3A"/>
          <w:sz w:val="18"/>
        </w:rPr>
        <w:t>https://pubmed.ncbi.nlm.nih.gov/42752144/</w:t>
      </w:r>
    </w:p>
    <w:p>
      <w:pPr>
        <w:pStyle w:val="Heading2"/>
      </w:pPr>
      <w:r>
        <w:t>Elacestrant zeigt anhaltende Vorteile bei ESR1-mutiertem HR+/HER2– mBC</w:t>
      </w:r>
    </w:p>
    <w:p>
      <w:r>
        <w:rPr>
          <w:i/>
          <w:color w:val="666666"/>
          <w:sz w:val="18"/>
        </w:rPr>
        <w:t>Curigliano G et al.  ·  ESMO Open  ·  14.09.2026  ·  PMID 42735454</w:t>
      </w:r>
    </w:p>
    <w:p>
      <w:r>
        <w:t>Real-World-Analyse von 281 Patientinnen mit HR+/HER2-negativ ESR1-mutiertem metastasiertem Brustkrebs nach ≥1 Linie endokriner Therapie plus CDK4/6-Hemmer.</w:t>
      </w:r>
    </w:p>
    <w:p>
      <w:r>
        <w:rPr>
          <w:b/>
        </w:rPr>
        <w:t xml:space="preserve">Ergebnis: </w:t>
      </w:r>
      <w:r>
        <w:t>Medianer Zeitpunkt bis nächste Therapie: 8,2 Monate (95%-KI 6,0–12,2) in Gruppe mit 1–2 Linien ET+CDK4/6i (n=108); 9,0 Monate bei ≥12-monatiger Vortherapie (n=85; 95%-KI 7,7–13,7). Mit nur 1 Vorlinientherapie: 12,2 Monate (95%-KI 9,0-nicht erreicht; n=31). Leber-/Lungenmets: 6,9 Monate; Gehirnmets: 7,4 Monate. Koexistente ESR1+PI3K-Mutation: 6,1 Monate. Durable Vorteile unterstützen Elacestrant als Erst-Option für endokrin-sensitive HR+ ESR1-mutierte Tumoren.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kanadische Zentren, vergleichbares Versicherungssystem, breiter anwendbar.</w:t>
      </w:r>
    </w:p>
    <w:p>
      <w:r>
        <w:rPr>
          <w:color w:val="5A7D3A"/>
          <w:sz w:val="18"/>
        </w:rPr>
        <w:t>https://pubmed.ncbi.nlm.nih.gov/42735454/</w:t>
      </w:r>
    </w:p>
    <w:p>
      <w:pPr>
        <w:pStyle w:val="Heading2"/>
      </w:pPr>
      <w:r>
        <w:t>Thymusbestrahlung bei NSCLC mit höherem Metastasen- und Todesrisiko assoziiert</w:t>
      </w:r>
    </w:p>
    <w:p>
      <w:r>
        <w:rPr>
          <w:i/>
          <w:color w:val="666666"/>
          <w:sz w:val="18"/>
        </w:rPr>
        <w:t>Prudente V et al.  ·  Ann Oncol  ·  25.08.2026  ·  PMID 42641684</w:t>
      </w:r>
    </w:p>
    <w:p>
      <w:r>
        <w:t>Multikohorten-Analyse von 1.107 NSCLC-Patienten (RTOG-0617 und zwei Real-World-Kohorten) zur Auswirkung akzidenteller Thymusbestrahlung auf Outcome.</w:t>
      </w:r>
    </w:p>
    <w:p>
      <w:r>
        <w:rPr>
          <w:b/>
        </w:rPr>
        <w:t xml:space="preserve">Ergebnis: </w:t>
      </w:r>
      <w:r>
        <w:t>Mittlere Thymusdosis (MTD) von 1 Gy assoziiert mit 1,57–4,21% erhöhtem Distanzmetastasen-Risiko (RTOG: aHR 1,29, p=0,0028; Harvard-CRT: aHR 1,33, p=0,011; Harvard-Durva: aHR 1,95, p=0,007). Patienten mit erhaltenem Thymus vorher besonders gefährdet. Nach 1 Jahr: Dosis-abhängiger Thymusfunktions-Verlust und niedrigere Lymphozytenzahlen. Neuplanuung-Machbarkeitsstudie zeigte thymussparing möglich ohne Tumorüberdeckungs-Verlust.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USA-Daten, aber biologischer Mechanismus universal; deutsche Zentren können Planung adaptieren.</w:t>
      </w:r>
    </w:p>
    <w:p>
      <w:r>
        <w:rPr>
          <w:color w:val="5A7D3A"/>
          <w:sz w:val="18"/>
        </w:rPr>
        <w:t>https://pubmed.ncbi.nlm.nih.gov/42641684/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Onkologie</dc:title>
  <dc:subject/>
  <dc:creator>Monitor Versorgungsforschung</dc:creator>
  <cp:keywords/>
  <dc:description>generated by python-docx</dc:description>
  <cp:lastModifiedBy/>
  <cp:revision>1</cp:revision>
  <dcterms:created xsi:type="dcterms:W3CDTF">2026-09-19T06:00:00Z</dcterms:created>
  <dcterms:modified xsi:type="dcterms:W3CDTF">2026-09-19T06:00:00Z</dcterms:modified>
  <cp:category/>
</cp:coreProperties>
</file>