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Onkologie</w:t>
      </w:r>
    </w:p>
    <w:p>
      <w:r>
        <w:rPr>
          <w:i/>
          <w:color w:val="666666"/>
          <w:sz w:val="18"/>
        </w:rPr>
        <w:t>Stand: 19.09.2026  |  62 Studien  |  onkologie.m-vf.de</w:t>
      </w:r>
    </w:p>
    <w:p>
      <w:pPr>
        <w:pStyle w:val="Heading1"/>
      </w:pPr>
      <w:r>
        <w:t>Aufgenommen am 19.09.2026</w:t>
      </w:r>
    </w:p>
    <w:p>
      <w:pPr>
        <w:pStyle w:val="Heading2"/>
      </w:pPr>
      <w:r>
        <w:t>Präzisions-Prävention und Früherkennung: Framework für neue Krebskontroll-Pfade</w:t>
      </w:r>
    </w:p>
    <w:p>
      <w:r>
        <w:rPr>
          <w:i/>
          <w:color w:val="666666"/>
          <w:sz w:val="18"/>
        </w:rPr>
        <w:t>Rebbeck TR  ·  Lancet  ·  18.09.2026  ·  PMID 42759527</w:t>
      </w:r>
    </w:p>
    <w:p>
      <w:r>
        <w:t>Editoriales Essay zu Precision Prevention and Early Detection (PPED) – ein Rahmenwerk, das fragt: Wer hat erhöhtes Krebsrisiko, welche Intervention wann, wie de-eskalieren in Niedrig-Risiko-Gruppen?</w:t>
      </w:r>
    </w:p>
    <w:p>
      <w:r>
        <w:rPr>
          <w:b/>
        </w:rPr>
        <w:t xml:space="preserve">Ergebnis: </w:t>
      </w:r>
      <w:r>
        <w:t>Nur 13% der Krebsfälle werden durch Screening entdeckt; 20–50% präsentieren sich notfallmäßig. PPED-Logik funktioniert bei erblichen Syndromen mit ausreichend angereichertem Risiko. Schlüssel: Gesundheitssystem-Infrastruktur und Arbeitskräfte für longitudinales Präventions-Planning; de-Eskalation in Niedrig-Risiko-Personen genauso wichtig wie Intensivierung in Hoch-Risiko. Größte Herausforderung der nächsten Dekade.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Weltweit anwendbare Prinzipien; deutsche Früherkennung und Zentrenstruktur ermöglichen Umsetzung.</w:t>
      </w:r>
    </w:p>
    <w:p>
      <w:r>
        <w:rPr>
          <w:color w:val="5A7D3A"/>
          <w:sz w:val="18"/>
        </w:rPr>
        <w:t>https://pubmed.ncbi.nlm.nih.gov/42759527/</w:t>
      </w:r>
    </w:p>
    <w:p>
      <w:pPr>
        <w:pStyle w:val="Heading2"/>
      </w:pPr>
      <w:r>
        <w:t>Symptom-Belastung in Krebspatienten korreliert mit geringerer Therapie- und höherer Supportiv-Kostennutzung</w:t>
      </w:r>
    </w:p>
    <w:p>
      <w:r>
        <w:rPr>
          <w:i/>
          <w:color w:val="666666"/>
          <w:sz w:val="18"/>
        </w:rPr>
        <w:t>Hirpara DH et al.  ·  J Clin Oncol  ·  18.09.2026  ·  PMID 42758960</w:t>
      </w:r>
    </w:p>
    <w:p>
      <w:r>
        <w:t>Populationsbasierte Kohortenstudie aus Ontario, Kanada: 285.924 Krebspatienten mit 1.728.025 ESAS-Assessments (Edmonton Symptom Assessment) zur Assoziation zwischen Patient-Reported Outcomes und Gesundheitskosten.</w:t>
      </w:r>
    </w:p>
    <w:p>
      <w:r>
        <w:rPr>
          <w:b/>
        </w:rPr>
        <w:t xml:space="preserve">Ergebnis: </w:t>
      </w:r>
      <w:r>
        <w:t>Höchste Symptom-Belastung (Müdigkeit, Depression, Wohlbefinden) bei Atem-, HNO-Tumoren. Jede 10-Punkte-Zunahme ESAS-Score: 9,4% weniger Krebs-Therapiekosten (sinkende Therapie-Nutzung), aber 18% mehr Supportiv-Care-Kosten (mehr ED-Besuche, Hauscare). GI/Mamma/ZNS teuerste Entitäten (85–78k CAD/30 Tage). Aktives Symptom-Management könnte Krebs-Therapien fördern und unnötige Supportiv-Kosten senken.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ähnliches Versicherungssystem wie Deutschland; Symptom-Management-Evidenz direkt relevant.</w:t>
      </w:r>
    </w:p>
    <w:p>
      <w:r>
        <w:rPr>
          <w:color w:val="5A7D3A"/>
          <w:sz w:val="18"/>
        </w:rPr>
        <w:t>https://pubmed.ncbi.nlm.nih.gov/42758960/</w:t>
      </w:r>
    </w:p>
    <w:p>
      <w:pPr>
        <w:pStyle w:val="Heading2"/>
      </w:pPr>
      <w:r>
        <w:t>Tyrosinkinasehemmer verbessert Gesamtüberleben bei BCR::ABL1+ AML deutlich</w:t>
      </w:r>
    </w:p>
    <w:p>
      <w:r>
        <w:rPr>
          <w:i/>
          <w:color w:val="666666"/>
          <w:sz w:val="18"/>
        </w:rPr>
        <w:t>Bertoli S et al.  ·  Blood  ·  18.09.2026  ·  PMID 42758645</w:t>
      </w:r>
    </w:p>
    <w:p>
      <w:r>
        <w:t>Multizentrische europäische Studie: 212 Patienten mit de novo BCR::ABL1+ AML wurden retrospektiv analysiert – intensiveChemotherapie (IC) allein oder kombiniert mit Tyrosinkinasehemmer (TKI).</w:t>
      </w:r>
    </w:p>
    <w:p>
      <w:r>
        <w:rPr>
          <w:b/>
        </w:rPr>
        <w:t xml:space="preserve">Ergebnis: </w:t>
      </w:r>
      <w:r>
        <w:t>Mit IC+TKI erreichten 110/123 Patienten (89%) komplette Remission/CRi vs. 52/77 (68%) mit IC allein (p&lt;0,0001). 5-Jahres-Gesamtüberleben: 62,9% (IC+TKI) vs. 38,5% (IC; p&lt;0,0001). Im multivariaten Modell: Odds Ratio für CR/CRi 4,74 (95%-KI 2,17–10,35), Hazard Ratio für Überleben 0,40 (0,27–0,62; p&lt;0,001). TKI-Zusatz ist unabhängiger prognostischer Faktor.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Französisch-deutsches Konsortium, europäische Versicherungssysteme, direkt übertragbar auf deutsche Kliniken.</w:t>
      </w:r>
    </w:p>
    <w:p>
      <w:r>
        <w:rPr>
          <w:color w:val="5A7D3A"/>
          <w:sz w:val="18"/>
        </w:rPr>
        <w:t>https://pubmed.ncbi.nlm.nih.gov/42758645/</w:t>
      </w:r>
    </w:p>
    <w:p>
      <w:pPr>
        <w:pStyle w:val="Heading2"/>
      </w:pPr>
      <w:r>
        <w:t>Intraoperative Radiotherapie zeigt Lokalrezidiv-Raten vergleichbar mit postoperativen Boost</w:t>
      </w:r>
    </w:p>
    <w:p>
      <w:r>
        <w:rPr>
          <w:i/>
          <w:color w:val="666666"/>
          <w:sz w:val="18"/>
        </w:rPr>
        <w:t>Sarria GR et al.  ·  Strahlenther Onkol  ·  17.09.2026  ·  PMID 42754764</w:t>
      </w:r>
    </w:p>
    <w:p>
      <w:r>
        <w:t>Matched-Pair-Analyse von 400 Brustkrebs-Patientinnen (je 200 mit intraoperativer oder postoperativer EBRT-Boost) mit frühen Hochrisikotumoreneach Brustkrebserhaltender Chirurgie.</w:t>
      </w:r>
    </w:p>
    <w:p>
      <w:r>
        <w:rPr>
          <w:b/>
        </w:rPr>
        <w:t xml:space="preserve">Ergebnis: </w:t>
      </w:r>
      <w:r>
        <w:t>Nach medianer 58-Monate-Nachsorge: Kumulative lokale Rezidiv-Inzidenz 3,5% (IORT) vs. 2,0% (EBRT); HR 1,80 (95%-KI 0,58–5,58; p=0,312, nicht signifikant). Keine Unterschiede bei Lymphknoten-, Fernmetastasen-freiem Überleben oder Gesamtüberleben (alle p&gt;0,6). IORT ist wirksame, gut verträgliche Alternative ohne Kompromisse im Langzeit-Onkologie.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und europäische Zentren, Versicherungssystem unabhängig, direkt übertragbar.</w:t>
      </w:r>
    </w:p>
    <w:p>
      <w:r>
        <w:rPr>
          <w:color w:val="5A7D3A"/>
          <w:sz w:val="18"/>
        </w:rPr>
        <w:t>https://pubmed.ncbi.nlm.nih.gov/42754764/</w:t>
      </w:r>
    </w:p>
    <w:p>
      <w:pPr>
        <w:pStyle w:val="Heading2"/>
      </w:pPr>
      <w:r>
        <w:t>Seltene EGFR-T790M-Keimbahn-Mutation mit Lungenkrebsrisiko in Southern Appalachia identifiziert</w:t>
      </w:r>
    </w:p>
    <w:p>
      <w:r>
        <w:rPr>
          <w:i/>
          <w:color w:val="666666"/>
          <w:sz w:val="18"/>
        </w:rPr>
        <w:t>LoPiccolo J et al.  ·  Science  ·  17.09.2026  ·  PMID 42752144</w:t>
      </w:r>
    </w:p>
    <w:p>
      <w:r>
        <w:t>Große bevölkerungsgenetische Studie (&gt;3,3 Mio. Personen) zur Assoziation der EGFR-T790M-Variante mit Lungenkrebsrisiko.</w:t>
      </w:r>
    </w:p>
    <w:p>
      <w:r>
        <w:rPr>
          <w:b/>
        </w:rPr>
        <w:t xml:space="preserve">Ergebnis: </w:t>
      </w:r>
      <w:r>
        <w:t>EGFR-T790M signifikant mit Lungenkrebsrisiko assoziiert, aber nicht mit 17 anderen Tumoren; Risiko übersteigt Raucher-Risiko, mehrfach höher in Never-Smokern. Geografisch/ancestral: höhere Prävalenz in USA (Southern-Appalachian-Founder-Event 200–225 Jahre ago, Herkunft britisch/irisch). Prävalenz regional deutlich erhöht, betrifft britische, irische und afrikanische Abstammung. Erkannte Hochrisiko-Träger ermöglichen gezielte genetische Tests und Screening-Strategien.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Transatlantische Studie, Angloamerika-Fokus; für Deutschland gering: regionale Appalachian-Founder-Effekt USA-spezifisch.</w:t>
      </w:r>
    </w:p>
    <w:p>
      <w:r>
        <w:rPr>
          <w:color w:val="5A7D3A"/>
          <w:sz w:val="18"/>
        </w:rPr>
        <w:t>https://pubmed.ncbi.nlm.nih.gov/42752144/</w:t>
      </w:r>
    </w:p>
    <w:p>
      <w:pPr>
        <w:pStyle w:val="Heading2"/>
      </w:pPr>
      <w:r>
        <w:t>Elacestrant zeigt anhaltende Vorteile bei ESR1-mutiertem HR+/HER2– mBC</w:t>
      </w:r>
    </w:p>
    <w:p>
      <w:r>
        <w:rPr>
          <w:i/>
          <w:color w:val="666666"/>
          <w:sz w:val="18"/>
        </w:rPr>
        <w:t>Curigliano G et al.  ·  ESMO Open  ·  14.09.2026  ·  PMID 42735454</w:t>
      </w:r>
    </w:p>
    <w:p>
      <w:r>
        <w:t>Real-World-Analyse von 281 Patientinnen mit HR+/HER2-negativ ESR1-mutiertem metastasiertem Brustkrebs nach ≥1 Linie endokriner Therapie plus CDK4/6-Hemmer.</w:t>
      </w:r>
    </w:p>
    <w:p>
      <w:r>
        <w:rPr>
          <w:b/>
        </w:rPr>
        <w:t xml:space="preserve">Ergebnis: </w:t>
      </w:r>
      <w:r>
        <w:t>Medianer Zeitpunkt bis nächste Therapie: 8,2 Monate (95%-KI 6,0–12,2) in Gruppe mit 1–2 Linien ET+CDK4/6i (n=108); 9,0 Monate bei ≥12-monatiger Vortherapie (n=85; 95%-KI 7,7–13,7). Mit nur 1 Vorlinientherapie: 12,2 Monate (95%-KI 9,0-nicht erreicht; n=31). Leber-/Lungenmets: 6,9 Monate; Gehirnmets: 7,4 Monate. Koexistente ESR1+PI3K-Mutation: 6,1 Monate. Durable Vorteile unterstützen Elacestrant als Erst-Option für endokrin-sensitive HR+ ESR1-mutierte Tumoren.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kanadische Zentren, vergleichbares Versicherungssystem, breiter anwendbar.</w:t>
      </w:r>
    </w:p>
    <w:p>
      <w:r>
        <w:rPr>
          <w:color w:val="5A7D3A"/>
          <w:sz w:val="18"/>
        </w:rPr>
        <w:t>https://pubmed.ncbi.nlm.nih.gov/42735454/</w:t>
      </w:r>
    </w:p>
    <w:p>
      <w:pPr>
        <w:pStyle w:val="Heading2"/>
      </w:pPr>
      <w:r>
        <w:t>Thymusbestrahlung bei NSCLC mit höherem Metastasen- und Todesrisiko assoziiert</w:t>
      </w:r>
    </w:p>
    <w:p>
      <w:r>
        <w:rPr>
          <w:i/>
          <w:color w:val="666666"/>
          <w:sz w:val="18"/>
        </w:rPr>
        <w:t>Prudente V et al.  ·  Ann Oncol  ·  25.08.2026  ·  PMID 42641684</w:t>
      </w:r>
    </w:p>
    <w:p>
      <w:r>
        <w:t>Multikohorten-Analyse von 1.107 NSCLC-Patienten (RTOG-0617 und zwei Real-World-Kohorten) zur Auswirkung akzidenteller Thymusbestrahlung auf Outcome.</w:t>
      </w:r>
    </w:p>
    <w:p>
      <w:r>
        <w:rPr>
          <w:b/>
        </w:rPr>
        <w:t xml:space="preserve">Ergebnis: </w:t>
      </w:r>
      <w:r>
        <w:t>Mittlere Thymusdosis (MTD) von 1 Gy assoziiert mit 1,57–4,21% erhöhtem Distanzmetastasen-Risiko (RTOG: aHR 1,29, p=0,0028; Harvard-CRT: aHR 1,33, p=0,011; Harvard-Durva: aHR 1,95, p=0,007). Patienten mit erhaltenem Thymus vorher besonders gefährdet. Nach 1 Jahr: Dosis-abhängiger Thymusfunktions-Verlust und niedrigere Lymphozytenzahlen. Neuplanuung-Machbarkeitsstudie zeigte thymussparing möglich ohne Tumorüberdeckungs-Verlust.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USA-Daten, aber biologischer Mechanismus universal; deutsche Zentren können Planung adaptieren.</w:t>
      </w:r>
    </w:p>
    <w:p>
      <w:r>
        <w:rPr>
          <w:color w:val="5A7D3A"/>
          <w:sz w:val="18"/>
        </w:rPr>
        <w:t>https://pubmed.ncbi.nlm.nih.gov/42641684/</w:t>
      </w:r>
    </w:p>
    <w:p>
      <w:pPr>
        <w:pStyle w:val="Heading1"/>
      </w:pPr>
      <w:r>
        <w:t>Aufgenommen am 18.09.2026</w:t>
      </w:r>
    </w:p>
    <w:p>
      <w:pPr>
        <w:pStyle w:val="Heading2"/>
      </w:pPr>
      <w:r>
        <w:t>Perfluorheptansäure (PFHpA) erhöht Leberkrebsrisiko: Fallkontrollstudie</w:t>
      </w:r>
    </w:p>
    <w:p>
      <w:r>
        <w:rPr>
          <w:i/>
          <w:color w:val="666666"/>
          <w:sz w:val="18"/>
        </w:rPr>
        <w:t>Watling CZ et al.  ·  J Natl Cancer Inst  ·  17.09.2026  ·  PMID 42752878</w:t>
      </w:r>
    </w:p>
    <w:p>
      <w:r>
        <w:t>Verschachtelte Fall-Kontroll-Studie in 12 prospektiven US-Kohorten (853 Fälle, 853 Kontrollen) zur Assoziation von Per- und Polyfluoralkylverbindungen (PFAS) ausser PFOS, PFOA, PFHxS mit Leberkrebs (Prävention).</w:t>
      </w:r>
    </w:p>
    <w:p>
      <w:r>
        <w:rPr>
          <w:b/>
        </w:rPr>
        <w:t xml:space="preserve">Ergebnis: </w:t>
      </w:r>
      <w:r>
        <w:t>Perfluorheptansäure (PFHpA) positiv mit Leberkrebsrisiko assoziiert: Odds Ratio 1,78 (95%-KI 1,26-2,52). Stärkere Assoziation bei Männern (OR 3,72), HCC (4,53), ≤10 Jahre nach Blutentnahme (3,17). Andere PFAS ohne Assoziation.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USA-Bevölkerungsdaten; Kurzkettige-PFAS persistieren auch in Europrodukten.</w:t>
      </w:r>
    </w:p>
    <w:p>
      <w:r>
        <w:rPr>
          <w:color w:val="5A7D3A"/>
          <w:sz w:val="18"/>
        </w:rPr>
        <w:t>https://pubmed.ncbi.nlm.nih.gov/42752878/</w:t>
      </w:r>
    </w:p>
    <w:p>
      <w:pPr>
        <w:pStyle w:val="Heading2"/>
      </w:pPr>
      <w:r>
        <w:t>Zolbetuximab versus Immune Checkpoint Inhibitoren bei claudin-18.2-positivem Magenkrebs</w:t>
      </w:r>
    </w:p>
    <w:p>
      <w:r>
        <w:rPr>
          <w:i/>
          <w:color w:val="666666"/>
          <w:sz w:val="18"/>
        </w:rPr>
        <w:t>Shitara K et al.  ·  ESMO Open  ·  16.09.2026  ·  PMID 42748508</w:t>
      </w:r>
    </w:p>
    <w:p>
      <w:r>
        <w:t>Netzwerk-Metaanalyse vergleicht Zolbetuximab plus Chemotherapie mit ICI-basierter Therapie nach PD-L1-CPS-Subgruppen bei fortgeschrittenem Magen-/gastro-ösophagealem Adenokarzinom in ersten Therapielinie.</w:t>
      </w:r>
    </w:p>
    <w:p>
      <w:r>
        <w:rPr>
          <w:b/>
        </w:rPr>
        <w:t xml:space="preserve">Ergebnis: </w:t>
      </w:r>
      <w:r>
        <w:t>Bei PD-L1 CPS ≥1 bis &lt;10 ähnliche oder numerisch günstigere Effekte für Zolbetuximab auf Overall Survival und Progression-Free Survival versus ICIs. Bei CPS ≥10 numerisch vorteilhaft für ICIs, aber mit optimalisierter Zolbetuximab-Exposition vergleichbar.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Indirekte Vergleiche; biomarker-informierter Ansatz unterstützt, Bestätigung durch prospektive Studien erforderlich.</w:t>
      </w:r>
    </w:p>
    <w:p>
      <w:r>
        <w:rPr>
          <w:color w:val="5A7D3A"/>
          <w:sz w:val="18"/>
        </w:rPr>
        <w:t>https://pubmed.ncbi.nlm.nih.gov/42748508/</w:t>
      </w:r>
    </w:p>
    <w:p>
      <w:pPr>
        <w:pStyle w:val="Heading2"/>
      </w:pPr>
      <w:r>
        <w:t>Achtsamkeit und Tai Chi verbessern Schlaf, Fatigue und Schmerz nach Krebsbehandlung</w:t>
      </w:r>
    </w:p>
    <w:p>
      <w:r>
        <w:rPr>
          <w:i/>
          <w:color w:val="666666"/>
          <w:sz w:val="18"/>
        </w:rPr>
        <w:t>Ma Y et al.  ·  J Clin Oncol  ·  16.09.2026  ·  PMID 42748380</w:t>
      </w:r>
    </w:p>
    <w:p>
      <w:r>
        <w:t>Teilweise randomisierte Patient-Choice-Studie (Mindfulness and Tai Chi for Cancer Health, MATCH) mit 587 Krebsüberlebenden (Durchschnittsalter 60,7 Jahre) zur Wirkung von Achtsamkeitsbasierter Krebsgenesungsgruppe (MBCR) oder Tai Chi/Qigong (TCQ) versus Warteliste auf Schlaf, Fatigue und Schmerz.</w:t>
      </w:r>
    </w:p>
    <w:p>
      <w:r>
        <w:rPr>
          <w:b/>
        </w:rPr>
        <w:t xml:space="preserve">Ergebnis: </w:t>
      </w:r>
      <w:r>
        <w:t>TCQ vs Warteliste: Schlafqualität 1,9 Punkte Verbesserung (p=0,004). MBCR und TCQ vs Warteliste: Fatigue jeweils 3,66 und 3,42 Punkte besser (MBCR p=0,036, TCQ p=0,043). Schmerzbeeinträchtigung &gt;1 Punkt Verbesserung (MBCR p=0,029, TCQ p=0,002). MBCR und TCQ unterschieden sich nicht.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Kanadisch-amerikanische Studie; psychosoziale Nachsorge übertragbar auf deutsche Zentren.</w:t>
      </w:r>
    </w:p>
    <w:p>
      <w:r>
        <w:rPr>
          <w:color w:val="5A7D3A"/>
          <w:sz w:val="18"/>
        </w:rPr>
        <w:t>https://pubmed.ncbi.nlm.nih.gov/42748380/</w:t>
      </w:r>
    </w:p>
    <w:p>
      <w:pPr>
        <w:pStyle w:val="Heading2"/>
      </w:pPr>
      <w:r>
        <w:t>Wachsendes Krebsaufkommen in Afrika 2023: Kinder, Jugendliche, junge Erwachsene stark betroffen</w:t>
      </w:r>
    </w:p>
    <w:p>
      <w:r>
        <w:rPr>
          <w:i/>
          <w:color w:val="666666"/>
          <w:sz w:val="18"/>
        </w:rPr>
        <w:t>GBD 2023 Africa Cancer Risk Factors Collaborators  ·  Lancet Oncol  ·  15.09.2026  ·  PMID 42743938</w:t>
      </w:r>
    </w:p>
    <w:p>
      <w:r>
        <w:t>Global Burden of Disease Study 2023 zu Krebsinzidenz, -mortalität und Behinderungsbereinigten Lebensjahren (DALYs) in 54 afrikanischen Ländern, 1990-2023; Analyse von 48 Krebsentitäten und 88 Risikofaktoren.</w:t>
      </w:r>
    </w:p>
    <w:p>
      <w:r>
        <w:rPr>
          <w:b/>
        </w:rPr>
        <w:t xml:space="preserve">Ergebnis: </w:t>
      </w:r>
      <w:r>
        <w:t>2023: 1,54 Mio. neue Fälle (95%-UI 1,37-1,75), 923 000 Todesfälle (824 000-1 020 000), 33,9 Mio. DALYs in Afrika. Kinder 0-19 Jahre: 104 000 Fälle (27,7% global), 38,0% globaler Todesfälle. 31,6% DALYs attributiv modifiable Risikofaktoren.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Bevölkerungsdaten aus 54 Ländern, primär für Gesundheitspolitik und Ressourcenplanung in Afrika relevant.</w:t>
      </w:r>
    </w:p>
    <w:p>
      <w:r>
        <w:rPr>
          <w:color w:val="5A7D3A"/>
          <w:sz w:val="18"/>
        </w:rPr>
        <w:t>https://pubmed.ncbi.nlm.nih.gov/42743938/</w:t>
      </w:r>
    </w:p>
    <w:p>
      <w:pPr>
        <w:pStyle w:val="Heading2"/>
      </w:pPr>
      <w:r>
        <w:t>Perioperatives Durvalumab plus FLOT verlängert Gesamtüberleben bei resektablem Magenkrebs</w:t>
      </w:r>
    </w:p>
    <w:p>
      <w:r>
        <w:rPr>
          <w:i/>
          <w:color w:val="666666"/>
          <w:sz w:val="18"/>
        </w:rPr>
        <w:t>Janjigian YY et al.  ·  Lancet  ·  19.09.2026  ·  PMID 42716074</w:t>
      </w:r>
    </w:p>
    <w:p>
      <w:r>
        <w:t>Randomisierte Phase-3-Studie zur Wirkung von Durvalumab (Immune Checkpoint Inhibitor) plus perioperativer Chemotherapie (FLOT) versus Placebo plus FLOT bei 948 Patienten mit resektablem Magenkarzinom (Stadium II-IVa).</w:t>
      </w:r>
    </w:p>
    <w:p>
      <w:r>
        <w:rPr>
          <w:b/>
        </w:rPr>
        <w:t xml:space="preserve">Ergebnis: </w:t>
      </w:r>
      <w:r>
        <w:t>Gesamtüberleben (Overall Survival) signifikant verbessert mit Durvalumab: Hazard Ratio 0,78 (95%-KI 0,63-0,96; p=0,021). Die Therapie ist neue Standardoption für resektables Magen- und gastro-ösophageales Adenokarzinom.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Studie in 147 Zentren, vergleichbare Studiendesign wie in deutschem System relevant.</w:t>
      </w:r>
    </w:p>
    <w:p>
      <w:r>
        <w:rPr>
          <w:color w:val="5A7D3A"/>
          <w:sz w:val="18"/>
        </w:rPr>
        <w:t>https://pubmed.ncbi.nlm.nih.gov/42716074/</w:t>
      </w:r>
    </w:p>
    <w:p>
      <w:pPr>
        <w:pStyle w:val="Heading2"/>
      </w:pPr>
      <w:r>
        <w:t>Zehnjahresüberleben nach Brustkrebs nach Stadium, molekularem Subtyp und Grad kombiniert</w:t>
      </w:r>
    </w:p>
    <w:p>
      <w:r>
        <w:rPr>
          <w:i/>
          <w:color w:val="666666"/>
          <w:sz w:val="18"/>
        </w:rPr>
        <w:t>Giudici F et al.  ·  Oncologist  ·  09.09.2026  ·  PMID 42640557</w:t>
      </w:r>
    </w:p>
    <w:p>
      <w:r>
        <w:t>Populationsbasierte Kohortenstudie aus der Friuli-Venezia-Giulia-Krebsregisters (Nordostitalien) mit 10 467 Frauen &lt;75 Jahre, diagnostiziert 2004-2014; Verfolgung bis 2023.</w:t>
      </w:r>
    </w:p>
    <w:p>
      <w:r>
        <w:rPr>
          <w:b/>
        </w:rPr>
        <w:t xml:space="preserve">Ergebnis: </w:t>
      </w:r>
      <w:r>
        <w:t>Höchstes Gesamtüberleben (10-Jahres-Nettoüberleben) bei Stadium I HR+/HER2-: 98,8%. Tiefste bei Stadium III Triple-Negativ: 35,1%. Stadium IV Triple-Negativ: 6,7% vs HR-/HER2+: 18,9%. Vergleich 2004-2009 vs 2010-2014: Verbesserung bei Stadium III HR-/HER2+ von 48,6% auf 87,9% (+39 Prozentpunkte), Stadium III Triple-Negativ 28,8% auf 42,3%.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Italienisches (europäisches) Krebsregister, vergleichbar mit deutschem System und Dokumentation.</w:t>
      </w:r>
    </w:p>
    <w:p>
      <w:r>
        <w:rPr>
          <w:color w:val="5A7D3A"/>
          <w:sz w:val="18"/>
        </w:rPr>
        <w:t>https://pubmed.ncbi.nlm.nih.gov/42640557/</w:t>
      </w:r>
    </w:p>
    <w:p>
      <w:pPr>
        <w:pStyle w:val="Heading1"/>
      </w:pPr>
      <w:r>
        <w:t>Aufgenommen am 17.09.2026</w:t>
      </w:r>
    </w:p>
    <w:p>
      <w:pPr>
        <w:pStyle w:val="Heading2"/>
      </w:pPr>
      <w:r>
        <w:t>eHealth-Intervention (CUMACA-M) stabilisiert Lebensqualität von Brustkrebsüberlebenden über 9 Monate</w:t>
      </w:r>
    </w:p>
    <w:p>
      <w:r>
        <w:rPr>
          <w:i/>
          <w:color w:val="666666"/>
          <w:sz w:val="18"/>
        </w:rPr>
        <w:t>J Natl Cancer Inst  ·  2026  ·  PMID djag328</w:t>
      </w:r>
    </w:p>
    <w:p>
      <w:r>
        <w:t>Spanische randomisierte Kontrollstudie mit 201 krankheitsfreien Brustkrebsüberlebenden (≥5 Jahre nach Diagnose), 9-Monate-eHealth-Intervention vs. Standardcare.</w:t>
      </w:r>
    </w:p>
    <w:p>
      <w:r>
        <w:rPr>
          <w:b/>
        </w:rPr>
        <w:t xml:space="preserve">Ergebnis: </w:t>
      </w:r>
      <w:r>
        <w:t>Gesamtlebensqualität stabil in Interventionsgruppe (5,70→5,69), Rückgang in Kontrolle (5,83→5,57, Δ=-0,26), Differenz 0,24 Punkte (95% CI 0,03-0,44), p=0,024. Psychisches Wohlbefinden Cohen d=0,40, physisches d=0,28.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System (Spanien/öffentliche Versicherung), digitale Nachsorgeintervention für Flächeimplementierung geeignet.</w:t>
      </w:r>
    </w:p>
    <w:p>
      <w:r>
        <w:rPr>
          <w:color w:val="5A7D3A"/>
          <w:sz w:val="18"/>
        </w:rPr>
        <w:t>https://pubmed.ncbi.nlm.nih.gov/djag328/</w:t>
      </w:r>
    </w:p>
    <w:p>
      <w:pPr>
        <w:pStyle w:val="Heading2"/>
      </w:pPr>
      <w:r>
        <w:t>HRS-4642+Adebrelimab bei KRAS-G12D-Pankreas-Ca: 43% Ansprechrate ohne Chemotherapie</w:t>
      </w:r>
    </w:p>
    <w:p>
      <w:r>
        <w:rPr>
          <w:i/>
          <w:color w:val="666666"/>
          <w:sz w:val="18"/>
        </w:rPr>
        <w:t>Shi S et al.  ·  Cancer Cell  ·  16.09.2026  ·  PMID 42748921</w:t>
      </w:r>
    </w:p>
    <w:p>
      <w:r>
        <w:t>Phase-1/2-Studie mit 48 Patienten (davon 37 in der RP2D-Kohorte) mit metastasiertem KRAS-G12D-mutiertem Pankreaskarzinom, chemofrei mit KRAS-inhibitor+PD-L1-Blocker behandelt.</w:t>
      </w:r>
    </w:p>
    <w:p>
      <w:r>
        <w:rPr>
          <w:b/>
        </w:rPr>
        <w:t xml:space="preserve">Ergebnis: </w:t>
      </w:r>
      <w:r>
        <w:t>Bestätigte ORR 43,2% (95% CI 27,1-60,5), Krankheitskontrollrate 81,1%, mediane Progressionsfreihheit 5,7 Monate, medianes Gesamtüberleben 11,5 Monate. Häufigste Nebenwirkungen: Hypercholesterinämie und Anämie je 50%.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China-Studie, KRAS-Inhibitor nicht europäisch zugelassen, Sicherheitsdaten übertragbar.</w:t>
      </w:r>
    </w:p>
    <w:p>
      <w:r>
        <w:rPr>
          <w:color w:val="5A7D3A"/>
          <w:sz w:val="18"/>
        </w:rPr>
        <w:t>https://pubmed.ncbi.nlm.nih.gov/42748921/</w:t>
      </w:r>
    </w:p>
    <w:p>
      <w:pPr>
        <w:pStyle w:val="Heading2"/>
      </w:pPr>
      <w:r>
        <w:t>Triplet-Chemotherapie bei fortgeschrittenem Pankreas-Ca: 63% Ansprechrate, 60% Konversion</w:t>
      </w:r>
    </w:p>
    <w:p>
      <w:r>
        <w:rPr>
          <w:i/>
          <w:color w:val="666666"/>
          <w:sz w:val="18"/>
        </w:rPr>
        <w:t>Nagatani Y et al.  ·  Eur J Cancer  ·  10.09.2026  ·  PMID 42748587</w:t>
      </w:r>
    </w:p>
    <w:p>
      <w:r>
        <w:t>Japanische Phase-II-Multicenterstudie mit 30 Patienten, gesamte Chemotherapie (Gemcitabin, nab-Paclitaxel) mit oralem S-1 kombiniert.</w:t>
      </w:r>
    </w:p>
    <w:p>
      <w:r>
        <w:rPr>
          <w:b/>
        </w:rPr>
        <w:t xml:space="preserve">Ergebnis: </w:t>
      </w:r>
      <w:r>
        <w:t>ORR 63,3% (primärer Endpunkt erreicht), Krankheitskontrollrate 86,7%, medianes progressionsfreies Überleben 9,0 Monate, medianes Gesamtüberleben 15,0 Monate. 60% der lokalfortgeschrittenen Patienten zur Resektabilität konvertiert.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Japanische Daten, S-1 in Deutschland verfügbar, Triplet potenziell praxisrelevant.</w:t>
      </w:r>
    </w:p>
    <w:p>
      <w:r>
        <w:rPr>
          <w:color w:val="5A7D3A"/>
          <w:sz w:val="18"/>
        </w:rPr>
        <w:t>https://pubmed.ncbi.nlm.nih.gov/42748587/</w:t>
      </w:r>
    </w:p>
    <w:p>
      <w:pPr>
        <w:pStyle w:val="Heading2"/>
      </w:pPr>
      <w:r>
        <w:t>Pembrolizumab bei Magenkarzinom: Überlebensvorteil 12,9 vs. 11,5 Monate bestätigt</w:t>
      </w:r>
    </w:p>
    <w:p>
      <w:r>
        <w:rPr>
          <w:i/>
          <w:color w:val="666666"/>
          <w:sz w:val="18"/>
        </w:rPr>
        <w:t>Rha SY et al.  ·  ESMO Open  ·  16.09.2026  ·  PMID 42748509</w:t>
      </w:r>
    </w:p>
    <w:p>
      <w:r>
        <w:t>Randomisierte Phase-III-Studie (KEYNOTE-859) mit 1.579 Patienten mit HER2-negativem lokal fortgeschrittenem/metastasiertem Magen-GÖJ-Adenokarzinom; 4,5-Jahre-Follow-up.</w:t>
      </w:r>
    </w:p>
    <w:p>
      <w:r>
        <w:rPr>
          <w:b/>
        </w:rPr>
        <w:t xml:space="preserve">Ergebnis: </w:t>
      </w:r>
      <w:r>
        <w:t>Median Overall Survival 12,9 Monate (Pembrolizumab+Chemotherapie) vs. 11,5 Monate (Placebo+Chemotherapie), Hazard Ratio 0,78 (95% CI 0,70-0,86). Grade-3/4-Nebenwirkungen 58,3% vs. 49,3%.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Studie, europäische und asiatische Zentren, vergleichbare Versorgung.</w:t>
      </w:r>
    </w:p>
    <w:p>
      <w:r>
        <w:rPr>
          <w:color w:val="5A7D3A"/>
          <w:sz w:val="18"/>
        </w:rPr>
        <w:t>https://pubmed.ncbi.nlm.nih.gov/42748509/</w:t>
      </w:r>
    </w:p>
    <w:p>
      <w:pPr>
        <w:pStyle w:val="Heading2"/>
      </w:pPr>
      <w:r>
        <w:t>Blinatumomab ersetzt Chemotherapie in hochrisiko-ALL: 83% ereignisfreies Überleben</w:t>
      </w:r>
    </w:p>
    <w:p>
      <w:r>
        <w:rPr>
          <w:i/>
          <w:color w:val="666666"/>
          <w:sz w:val="18"/>
        </w:rPr>
        <w:t>Schrappe M et al.  ·  N Engl J Med  ·  17.09.2026  ·  PMID 42748428</w:t>
      </w:r>
    </w:p>
    <w:p>
      <w:r>
        <w:t>Randomisierte europäisch-internationale Studie bei 358 Kindern mit neu diagnostizierter B-ALL, die statt zwei Chemotherapie-Zyklen zwei Blinatumomab-Zyklen erhielten.</w:t>
      </w:r>
    </w:p>
    <w:p>
      <w:r>
        <w:rPr>
          <w:b/>
        </w:rPr>
        <w:t xml:space="preserve">Ergebnis: </w:t>
      </w:r>
      <w:r>
        <w:t>4-Jahres-Ereignisfreiheit 83,0% (Blinatumomab) vs. 70,3% (Kontrolle), Hazard Ratio 0,51, p=0,0002. Behandlungsbedingte Infektionen: 23,9% vs. 69,4%, lebensbedrohliche Ereignisse 0,5% vs. 4,7%.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Deutsches/österreichisches Zentrumsprotokoll (BFM-ALL 2017), direkte Übertragung möglich.</w:t>
      </w:r>
    </w:p>
    <w:p>
      <w:r>
        <w:rPr>
          <w:color w:val="5A7D3A"/>
          <w:sz w:val="18"/>
        </w:rPr>
        <w:t>https://pubmed.ncbi.nlm.nih.gov/42748428/</w:t>
      </w:r>
    </w:p>
    <w:p>
      <w:pPr>
        <w:pStyle w:val="Heading2"/>
      </w:pPr>
      <w:r>
        <w:t>Fünfjährliche statt dreijährliche Koloskopie nach Adenomektomie: Nichtunterlegenheit bestätigt</w:t>
      </w:r>
    </w:p>
    <w:p>
      <w:r>
        <w:rPr>
          <w:i/>
          <w:color w:val="666666"/>
          <w:sz w:val="18"/>
        </w:rPr>
        <w:t>Jover R et al.  ·  N Engl J Med  ·  17.09.2026  ·  PMID 42748427</w:t>
      </w:r>
    </w:p>
    <w:p>
      <w:r>
        <w:t>Europäische Nichtunterlegenheitsstudie mit 10.799 Patienten nach Hochrisiko-Adenomektomie, randomisiert zu erste Surveillance nach 5 vs. 3 Jahren.</w:t>
      </w:r>
    </w:p>
    <w:p>
      <w:r>
        <w:rPr>
          <w:b/>
        </w:rPr>
        <w:t xml:space="preserve">Ergebnis: </w:t>
      </w:r>
      <w:r>
        <w:t>5-Jahres-Darmkrebsinzidenz 0,77% (5-jährig) vs. 0,82% (3-jährig), Nichtunterlegenheitsgrenze erreicht. Krebstodesfälle: 0,06% vs. 0,04%.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Studiendesign (Spanien, Norwegen, Polen, Dänemark), Nachsorgeleitlinien unmittelbar anwendbar.</w:t>
      </w:r>
    </w:p>
    <w:p>
      <w:r>
        <w:rPr>
          <w:color w:val="5A7D3A"/>
          <w:sz w:val="18"/>
        </w:rPr>
        <w:t>https://pubmed.ncbi.nlm.nih.gov/42748427/</w:t>
      </w:r>
    </w:p>
    <w:p>
      <w:pPr>
        <w:pStyle w:val="Heading1"/>
      </w:pPr>
      <w:r>
        <w:t>Aufgenommen am 16.09.2026</w:t>
      </w:r>
    </w:p>
    <w:p>
      <w:pPr>
        <w:pStyle w:val="Heading2"/>
      </w:pPr>
      <w:r>
        <w:t>Waldbrand-Feinstaub verstärkt Sterblichkeit von Lungenkrebspatienten um 78 % pro μg/m³</w:t>
      </w:r>
    </w:p>
    <w:p>
      <w:r>
        <w:rPr>
          <w:i/>
          <w:color w:val="666666"/>
          <w:sz w:val="18"/>
        </w:rPr>
        <w:t>Zhang M et al.  ·  Lancet Oncol  ·  15.09.2026  ·  PMID 42743939</w:t>
      </w:r>
    </w:p>
    <w:p>
      <w:r>
        <w:t>Retrospektive Kohortenstudie mit 414.016 älteren Lungenkrebspatienten aus SEER-Medicare (2006–2019) untersuchte die Auswirkung langfristiger Exposition gegenüber Waldbrand-assoziiertem PM2,5 vs. Nicht-Waldbrand-PM2,5 auf Overall Survival.</w:t>
      </w:r>
    </w:p>
    <w:p>
      <w:r>
        <w:rPr>
          <w:b/>
        </w:rPr>
        <w:t xml:space="preserve">Ergebnis: </w:t>
      </w:r>
      <w:r>
        <w:t>Jeder 1-μg/m³-Anstieg Waldbrand-PM2,5 war mit HR 1,0782 (95%-KI 1,0641–1,0924; p&lt;0,0001) für erhöhte Mortalität assoziiert, nicht-Waldbrand-PM2,5 mit HR 1,0171. Insgesamt 696 (95%-KI 576–814) durchschnittliche jährliche überschüssige Todesfälle waren der Waldbrand-Exposition zuzuordnen – pro Einheit toxischer als reguläre Luftverschmutzung.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USA/SEER-Daten: Nur Sicherheitsbefund übertragbar, Feinstaub-Exposition in Deutschland gering</w:t>
      </w:r>
    </w:p>
    <w:p>
      <w:r>
        <w:rPr>
          <w:color w:val="5A7D3A"/>
          <w:sz w:val="18"/>
        </w:rPr>
        <w:t>https://pubmed.ncbi.nlm.nih.gov/42743939/</w:t>
      </w:r>
    </w:p>
    <w:p>
      <w:pPr>
        <w:pStyle w:val="Heading2"/>
      </w:pPr>
      <w:r>
        <w:t>Nach Neoadjuvant-Therapie mit Triplet: Adjuvante Chemotherapie hilft nur bei ypN+/CRT, nicht bei TNT</w:t>
      </w:r>
    </w:p>
    <w:p>
      <w:r>
        <w:rPr>
          <w:i/>
          <w:color w:val="666666"/>
          <w:sz w:val="18"/>
        </w:rPr>
        <w:t>Denost Q et al.  ·  Eur J Cancer  ·  11.09.2026  ·  PMID 42743888</w:t>
      </w:r>
    </w:p>
    <w:p>
      <w:r>
        <w:t>Post-hoc-Analyse von zwei französischen randomisierten Multizenterstudie (GRECCAR4, PRODIGE23) mit 489 Patienten mit lokal fortgeschrittenem Rektumkarzinom, die den Nutzen adjuvanter Chemotherapie (AC) nach TNT mit FOLFIRINOX vs. CRT bewertete.</w:t>
      </w:r>
    </w:p>
    <w:p>
      <w:r>
        <w:rPr>
          <w:b/>
        </w:rPr>
        <w:t xml:space="preserve">Ergebnis: </w:t>
      </w:r>
      <w:r>
        <w:t>Nach Neoadjuvant-TNT zeigte AC keinen Vorteil in 3-Jahre-DFS für ypN+ (TNT-Arm; p=0,33) oder ypN0/cN+ (p=0,45). Nach CRT profitierten nur ypN+-Patienten: 3-Jahre-DFS verbessert nach AC (TNT: keine; CRT: signifikant; p&lt;0,001), 3-Jahre-OS und -DMFS ebenfalls nur nach CRT signifikant. Diese Daten unterstützen Therapie-Deeskalation in der TNT-Ära.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Deutschland/Frankreich: Europäische High-Volume-Zentren, deutsches Versicherungssystem vergleichbar</w:t>
      </w:r>
    </w:p>
    <w:p>
      <w:r>
        <w:rPr>
          <w:color w:val="5A7D3A"/>
          <w:sz w:val="18"/>
        </w:rPr>
        <w:t>https://pubmed.ncbi.nlm.nih.gov/42743888/</w:t>
      </w:r>
    </w:p>
    <w:p>
      <w:pPr>
        <w:pStyle w:val="Heading2"/>
      </w:pPr>
      <w:r>
        <w:t>Zirkufierende bakterielle DNA prognostiziert Therapieerfolg bei fortgeschrittenem Bauchspeicheldrüsenkrebs</w:t>
      </w:r>
    </w:p>
    <w:p>
      <w:r>
        <w:rPr>
          <w:i/>
          <w:color w:val="666666"/>
          <w:sz w:val="18"/>
        </w:rPr>
        <w:t>Surendran SA et al.  ·  Eur J Cancer  ·  10.09.2026  ·  PMID 42743886</w:t>
      </w:r>
    </w:p>
    <w:p>
      <w:r>
        <w:t>Studie von 13 + 47 Patienten mit fortgeschrittenem Pankreaskarzinom untersuchte, ob Veränderungen der zirkulierenden freien bakteriellen DNA (cfbDNA) im Serum unter Chemotherapie (FFX oder GnP) den Behandlungserfolg vorhersagen.</w:t>
      </w:r>
    </w:p>
    <w:p>
      <w:r>
        <w:rPr>
          <w:b/>
        </w:rPr>
        <w:t xml:space="preserve">Ergebnis: </w:t>
      </w:r>
      <w:r>
        <w:t>Patienten mit Abfall der cfbDNA unter FFX erreichten 14,3 vs. 2,9 Monate PFS (p&lt;0,001) und 23,2 vs. 8,4 Monate OS (p=0,006). Ein konstanter oder erhöhter cfbDNA-Wert war mit schlechterem OS assoziiert (HR 11,75; 95%-KI 1,87–73,85; p=0,009). Diese Marker-dynamik war aber regimen-abhängig: Bei GnP zeigte der cfbDNA-Rückgang gegenteilige 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Deutschland/Österreich: Europäische Krankenhauskohorten mit vergleichbarer Dokumentation</w:t>
      </w:r>
    </w:p>
    <w:p>
      <w:r>
        <w:rPr>
          <w:color w:val="5A7D3A"/>
          <w:sz w:val="18"/>
        </w:rPr>
        <w:t>https://pubmed.ncbi.nlm.nih.gov/42743886/</w:t>
      </w:r>
    </w:p>
    <w:p>
      <w:pPr>
        <w:pStyle w:val="Heading2"/>
      </w:pPr>
      <w:r>
        <w:t>Triplet-Chemotherapie plus Panitumumab in RAS wild-typ mKRK erhält Lebensqualität</w:t>
      </w:r>
    </w:p>
    <w:p>
      <w:r>
        <w:rPr>
          <w:i/>
          <w:color w:val="666666"/>
          <w:sz w:val="18"/>
        </w:rPr>
        <w:t>Klingler TM et al.  ·  Eur J Cancer  ·  11.09.2026  ·  PMID 42743885</w:t>
      </w:r>
    </w:p>
    <w:p>
      <w:r>
        <w:t>Sekundäranalyse der deutschen Phase-II-Studie VOLFI (AIO-KRK 0109) mit 105 randomisierten Patienten, die den Effekt von mFOLFOXIRI + Panitumumab vs. FOLFOXIRI auf Lebensqualität (EORTC QLQ-C30) untersuchte.</w:t>
      </w:r>
    </w:p>
    <w:p>
      <w:r>
        <w:rPr>
          <w:b/>
        </w:rPr>
        <w:t xml:space="preserve">Ergebnis: </w:t>
      </w:r>
      <w:r>
        <w:t>77 Patienten (51 vs. 26) führten ≥1 Lebensqualitäts-Fragebogen aus. Nach 12 Wochen keine statistisch signifikanten Unterschiede in Gesamt-HRQoL oder spezifischen Dimensionen. Patienten mit mFOLFOXIRI + Panitumumab mit Hautotoxizität zeigten trotz Toxizität keine assoziierte Lebensqualitätsverschlechterung. mFOLFOXIRI + Panitumumab war nicht mit schlechterer HRQoL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Deutschland: Alle Zentren Charité und LMU München – direkt übertragbar</w:t>
      </w:r>
    </w:p>
    <w:p>
      <w:r>
        <w:rPr>
          <w:color w:val="5A7D3A"/>
          <w:sz w:val="18"/>
        </w:rPr>
        <w:t>https://pubmed.ncbi.nlm.nih.gov/42743885/</w:t>
      </w:r>
    </w:p>
    <w:p>
      <w:pPr>
        <w:pStyle w:val="Heading2"/>
      </w:pPr>
      <w:r>
        <w:t>Ältere Brustkrebs-Patienten haben häufiger PIK3CA-Mutationen und höhere Tumorlast</w:t>
      </w:r>
    </w:p>
    <w:p>
      <w:r>
        <w:rPr>
          <w:i/>
          <w:color w:val="666666"/>
          <w:sz w:val="18"/>
        </w:rPr>
        <w:t>Gupta H et al.  ·  ESMO Open  ·  14.09.2026  ·  PMID 42735455</w:t>
      </w:r>
    </w:p>
    <w:p>
      <w:r>
        <w:t>Studie von 2.379 Patienten mit metastasiertem Brustkrebs (853 jung, 1.311 mittleres Alter, 215 älter ≥70 Jahre) verglich Tumor-Genomlandschaft mittels Zielsequenzierung (OncoPanel) nach Altersgruppe.</w:t>
      </w:r>
    </w:p>
    <w:p>
      <w:r>
        <w:rPr>
          <w:b/>
        </w:rPr>
        <w:t xml:space="preserve">Ergebnis: </w:t>
      </w:r>
      <w:r>
        <w:t>Ältere Patienten zeigten höhere Häufigkeit von SNVs in PIK3CA (44%), TP53 (33%), CDH1 (22%). Nach Adjustierung war hohes Alter assoziiert mit mehr PIK3CA-SNVs (OR 1,21; 95%-KI 1,11–1,31; q&lt;0,001), CDH1-SNVs (OR 1,43; 95%-KI 1,21–1,68) und 26% mit ≥10 Mutationen/Mb (vs. 17% bei Jüngsten). Diese Unterschiede waren unabhängig von Tumorsubtyp.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USA-Klinik: Vergleichbare Versicherungssysteme bei Umsetzung, genomische Testung in Deutschland ebenfalls Standard</w:t>
      </w:r>
    </w:p>
    <w:p>
      <w:r>
        <w:rPr>
          <w:color w:val="5A7D3A"/>
          <w:sz w:val="18"/>
        </w:rPr>
        <w:t>https://pubmed.ncbi.nlm.nih.gov/42735455/</w:t>
      </w:r>
    </w:p>
    <w:p>
      <w:pPr>
        <w:pStyle w:val="Heading2"/>
      </w:pPr>
      <w:r>
        <w:t>Immuntyp-Transition vorhersagt Checkpoint-Inhibitor-Anspruch besser als Ausgangszustand</w:t>
      </w:r>
    </w:p>
    <w:p>
      <w:r>
        <w:rPr>
          <w:i/>
          <w:color w:val="666666"/>
          <w:sz w:val="18"/>
        </w:rPr>
        <w:t>Lin Z et al.  ·  Cancer Cell  ·  14.09.2026  ·  PMID 42679812</w:t>
      </w:r>
    </w:p>
    <w:p>
      <w:r>
        <w:t>Longitudinale Single-Cell-RNA-Sequenzierung von 441 Proben aus 241 Patienten mit zehn Krebsentitäten untersuchte die Umgestaltung der Tumor-Immunmikroumgebung (TIME) unter Checkpoint-Inhibitor-Therapie und entwickelte eine prädiktive Signatur.</w:t>
      </w:r>
    </w:p>
    <w:p>
      <w:r>
        <w:rPr>
          <w:b/>
        </w:rPr>
        <w:t xml:space="preserve">Ergebnis: </w:t>
      </w:r>
      <w:r>
        <w:t>~40% der Tumore wechselten während Therapie zwischen TIME-Subtypen. Der Übergang (nicht der Ausgangszustand) war prognostischer: Günstige Übergänge zu entzündetem oder B-Zell-angereichertem Subtyp korrelierten mit verbessertem Ansprechen und Überleben. Eine 59-Gen-Signatur sagte Ansprechen und Überleben in 1.383 Baseline-Tumoren über 19 unabhängige Kohorten vorher (HR 2,15; KI-range über Publikationen relevant).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International/Multi-Entity: Prinzipien auf deutsche Zentren mit Liquid Biopsy/Tumorboard anwendbar</w:t>
      </w:r>
    </w:p>
    <w:p>
      <w:r>
        <w:rPr>
          <w:color w:val="5A7D3A"/>
          <w:sz w:val="18"/>
        </w:rPr>
        <w:t>https://pubmed.ncbi.nlm.nih.gov/42679812/</w:t>
      </w:r>
    </w:p>
    <w:p>
      <w:pPr>
        <w:pStyle w:val="Heading1"/>
      </w:pPr>
      <w:r>
        <w:t>Aufgenommen am 15.09.2026</w:t>
      </w:r>
    </w:p>
    <w:p>
      <w:pPr>
        <w:pStyle w:val="Heading2"/>
      </w:pPr>
      <w:r>
        <w:t>HDR-Brachytherapie nach Strahlentherapie bei älteren Rektumkarzinom-Patienten: lokale Kontrolle bei 80 %</w:t>
      </w:r>
    </w:p>
    <w:p>
      <w:r>
        <w:rPr>
          <w:i/>
          <w:color w:val="666666"/>
          <w:sz w:val="18"/>
        </w:rPr>
        <w:t>Kristen A et al.  ·  Strahlenther Onkol  ·  14.09.2026  ·  PMID 42734824</w:t>
      </w:r>
    </w:p>
    <w:p>
      <w:r>
        <w:t>15 ältere/infirme Patienten mit Rektumkarzinom erhielten kombiniert externe Strahlentherapie (30-39 Gy/10-13 Fraktionen) und endorektale Hochdosis-Brachytherapie (12-24 Gy/2-3 Fraktionen); eine organerhaltende Methode für Operationsunfähige.</w:t>
      </w:r>
    </w:p>
    <w:p>
      <w:r>
        <w:rPr>
          <w:b/>
        </w:rPr>
        <w:t xml:space="preserve">Ergebnis: </w:t>
      </w:r>
      <w:r>
        <w:t>Nach 21 Monaten Median-Follow-up erreichten 12 von 15 Patienten (80 %) klinische komplette (n=6) oder nahezu komplette Remission (n=6); 4 Patienten (33 %) entwickelten später lokales Rezidiv, 4 (27 %) Fernmetastasen. Grad-3-Toxizität: 67 % Proktitis, 20 % schwere Rektalblutung (3 Patienten). Sicherheits- und Dosisoptimierungsfragen bleiben, besonders bei Antikoagulation.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einzelzentrisch; Ansatz für zertifizierte Zentren mit Brachytherapie-Expertise geeignet</w:t>
      </w:r>
    </w:p>
    <w:p>
      <w:r>
        <w:rPr>
          <w:color w:val="5A7D3A"/>
          <w:sz w:val="18"/>
        </w:rPr>
        <w:t>https://pubmed.ncbi.nlm.nih.gov/42734824/</w:t>
      </w:r>
    </w:p>
    <w:p>
      <w:pPr>
        <w:pStyle w:val="Heading2"/>
      </w:pPr>
      <w:r>
        <w:t>Tambotatug Pelitecan (B7-H3-ADC) bei kleinzelligem Lungenkarzinom nach Platin: OS-Vorteil gegenüber Topotekan</w:t>
      </w:r>
    </w:p>
    <w:p>
      <w:r>
        <w:rPr>
          <w:i/>
          <w:color w:val="666666"/>
          <w:sz w:val="18"/>
        </w:rPr>
        <w:t>Zhao Y et al.  ·  N Engl J Med  ·  12.09.2026  ·  PMID 42734213</w:t>
      </w:r>
    </w:p>
    <w:p>
      <w:r>
        <w:t>Phase-III-TAISHAN-302, China: 451 Patienten mit rezidivierendem SCLC nach Platin-basierter Erstlinien-Therapie, randomisiert 1:1 zu Tambotatug Pelitecan (neuer B7-H3-zielgerichteter Antikörper-Wirkstoff-Konjugat) versus Topotekan; Interim-Analyse.</w:t>
      </w:r>
    </w:p>
    <w:p>
      <w:r>
        <w:rPr>
          <w:b/>
        </w:rPr>
        <w:t xml:space="preserve">Ergebnis: </w:t>
      </w:r>
      <w:r>
        <w:t>Median-OS: 13,3 Monate (Tam-Peli) vs. 9,4 Monate (Topotekan), HR 0,46 (95% KI 0,35–0,62, p&lt;0,001). Median-PFS: 7,4 vs. 2,8 Monate, HR 0,29 (p&lt;0,001). ORR: 59,1% vs. 9,7% (p&lt;0,001). Grad-≥3-AE: 55,4% vs. 77,9% (Tam-Peli günstiger). Diese Ergebnisse könnten neuen Standard für rezidiviertes SCLC begründen.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China-Studie, globales Design; Zulassungsantrag ausstehend, deutsche Verfügbarkeit unklar – USA nur mit Vorbehalt übertragbar</w:t>
      </w:r>
    </w:p>
    <w:p>
      <w:r>
        <w:rPr>
          <w:color w:val="5A7D3A"/>
          <w:sz w:val="18"/>
        </w:rPr>
        <w:t>https://pubmed.ncbi.nlm.nih.gov/42734213/</w:t>
      </w:r>
    </w:p>
    <w:p>
      <w:pPr>
        <w:pStyle w:val="Heading2"/>
      </w:pPr>
      <w:r>
        <w:t>Tumoren unterdrücken T-Zell-Immunität durch Antioxidanzien – PRDX1 als therapeutisches Target</w:t>
      </w:r>
    </w:p>
    <w:p>
      <w:r>
        <w:rPr>
          <w:i/>
          <w:color w:val="666666"/>
          <w:sz w:val="18"/>
        </w:rPr>
        <w:t>Wesolowski AJ et al.  ·  Science  ·  03.09.2026  ·  PMID 42691162</w:t>
      </w:r>
    </w:p>
    <w:p>
      <w:r>
        <w:t>Grundlagenwerk zur Immunsuppression durch tumorales Peroxiredoxin-1 (PRDX1): Forschung zeigt, dass Tumoren Antioxidanzien in ihre Umgebung freisetzen und T-Zellen damit ihrer reaktiven Sauerstoffspezies berauben, was deren Signalübertragung blockiert.</w:t>
      </w:r>
    </w:p>
    <w:p>
      <w:r>
        <w:rPr>
          <w:b/>
        </w:rPr>
        <w:t xml:space="preserve">Ergebnis: </w:t>
      </w:r>
      <w:r>
        <w:t>PRDX1-Mangel in Tumoren verstärkte Antitumor-Immunität und verbesserte Immuntherapie-Antworten in Mausmodellen; Liquid Biopsy könnte PRDX1-Spiegel messen. Der Befund eröffnet neuen therapeutischen Ansatz: PRDX1-Inhibition könnte Immuntherapie-Resistenz überwinden.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Präklinisch; klinischer Weg unklar, aber identifiziertes Targetprotein (PRDX1) ist actionable für Therapeutika-Entwicklung</w:t>
      </w:r>
    </w:p>
    <w:p>
      <w:r>
        <w:rPr>
          <w:color w:val="5A7D3A"/>
          <w:sz w:val="18"/>
        </w:rPr>
        <w:t>https://pubmed.ncbi.nlm.nih.gov/42691162/</w:t>
      </w:r>
    </w:p>
    <w:p>
      <w:pPr>
        <w:pStyle w:val="Heading2"/>
      </w:pPr>
      <w:r>
        <w:t>Real-World-Evidence zur Zulassung von Krebsmedikamenten: 18 Anträge mit Single-Arm-Trials und RWE, 2022–2025</w:t>
      </w:r>
    </w:p>
    <w:p>
      <w:r>
        <w:rPr>
          <w:i/>
          <w:color w:val="666666"/>
          <w:sz w:val="18"/>
        </w:rPr>
        <w:t>Su L et al.  ·  Oncologist  ·  06.08.2026  ·  PMID 42664160</w:t>
      </w:r>
    </w:p>
    <w:p>
      <w:r>
        <w:t>Analyse von 200 Onkologie-Zulassungen (FDA 134, EMA 66) 2022–2025: 18 Anträge (7 FDA, 11 EMA) kombiniert Single-Arm-Trials mit Real-World-Evidence; meist für Hämatologika (53 %), Hälfte auf elektronischen Krankenhauspflichten basiert.</w:t>
      </w:r>
    </w:p>
    <w:p>
      <w:r>
        <w:rPr>
          <w:b/>
        </w:rPr>
        <w:t xml:space="preserve">Ergebnis: </w:t>
      </w:r>
      <w:r>
        <w:t>RWE diente in 2 Fällen als "substantive evidence", ansonsten als kontextuell/supportiv. Häufige Mängel: kleine Fallzahlen, Population-Heterogenität, fehlende Kovariaten, non-kontempore Vergleiche, Post-hoc-Design. Regulatoren bestätigen methodologische Grenzen; Harmonisierung regulatorischer Guidance ist notwendig.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USA-Zulassungssystem und EMA; Übertrag auf deutsches AMNOG-Verfahren begrenzt – AMNOG verlangt höhere RCT-Standard</w:t>
      </w:r>
    </w:p>
    <w:p>
      <w:r>
        <w:rPr>
          <w:color w:val="5A7D3A"/>
          <w:sz w:val="18"/>
        </w:rPr>
        <w:t>https://pubmed.ncbi.nlm.nih.gov/42664160/</w:t>
      </w:r>
    </w:p>
    <w:p>
      <w:pPr>
        <w:pStyle w:val="Heading2"/>
      </w:pPr>
      <w:r>
        <w:t>Dosiseskalation (80 Gy) bei Hochrisiko-Prostatakarzinom erhöht 10-Jahres-PFS deutlich</w:t>
      </w:r>
    </w:p>
    <w:p>
      <w:r>
        <w:rPr>
          <w:i/>
          <w:color w:val="666666"/>
          <w:sz w:val="18"/>
        </w:rPr>
        <w:t>Hennequin C et al.  ·  Lancet Oncol  ·  Sept. 2026  ·  PMID 42636837</w:t>
      </w:r>
    </w:p>
    <w:p>
      <w:r>
        <w:t>Französische Phase-III-Studie (GETUG-AFU-18) mit 505 Patienten mit hochrisiko Prostatakarzinom: Vergleich externe Strahlentherapie 80 Gy versus 70 Gy, kombiniert mit Langzeit-Androgenentzug, über 9,5 Jahre Median-Follow-up.</w:t>
      </w:r>
    </w:p>
    <w:p>
      <w:r>
        <w:rPr>
          <w:b/>
        </w:rPr>
        <w:t xml:space="preserve">Ergebnis: </w:t>
      </w:r>
      <w:r>
        <w:t>10-Jahres-PFS: 83,6 % (80-Gy-Arm) vs. 72,2 % (70-Gy-Arm), Hazard Ratio 0,56 (95% KI 0,40–0,78, p&lt;0,0001). 5-Jahres-PFS: 91,4 % vs. 88,1 %. Grad-3-Toxizität akut 24–25 %, spät 7–8 % in beiden Gruppen. Sexuelle und urogenitale Nebenwirkungen waren frequent, aber nicht unterschiedlich.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 Versicherungsstruktur; deutsche S3-Leitlinien zu Hochrisiko-Prostata-Strahlentherapie sollten Dosiseskalation prüfen</w:t>
      </w:r>
    </w:p>
    <w:p>
      <w:r>
        <w:rPr>
          <w:color w:val="5A7D3A"/>
          <w:sz w:val="18"/>
        </w:rPr>
        <w:t>https://pubmed.ncbi.nlm.nih.gov/42636837/</w:t>
      </w:r>
    </w:p>
    <w:p>
      <w:pPr>
        <w:pStyle w:val="Heading2"/>
      </w:pPr>
      <w:r>
        <w:t>Adjuvant Alectinib (600 mg b.i.d. × 24 Monate) bei ALK-positivem NSCLC nach Resektion: verträglicher, Lebensqualität erhalten</w:t>
      </w:r>
    </w:p>
    <w:p>
      <w:r>
        <w:rPr>
          <w:i/>
          <w:color w:val="666666"/>
          <w:sz w:val="18"/>
        </w:rPr>
        <w:t>Dziadziuszko R et al.  ·  Lancet Oncol  ·  Sept. 2026  ·  PMID 42636834</w:t>
      </w:r>
    </w:p>
    <w:p>
      <w:r>
        <w:t>Phase-III-ALINA-Studie, 257 Patienten mit reseziertem ALK+NSCLC (Stadium IB–IIIA): Vergleich Adjuvant-Alectinib versus Platinum-basierte Chemotherapie; Nebenwirkungen und Lebensqualität (SF-36v2) werden berichtet; Disease-Free-Survival bereits publiziert.</w:t>
      </w:r>
    </w:p>
    <w:p>
      <w:r>
        <w:rPr>
          <w:b/>
        </w:rPr>
        <w:t xml:space="preserve">Ergebnis: </w:t>
      </w:r>
      <w:r>
        <w:t>Schwergrad 3–4-AE mit Alectinib: 6% (CPK-Anstieg), vs. Chemotherapie 10% (Neutropenie). Therapie-Abbrüche: 5% vs. 13% (signifikant weniger mit Alectinib). SF-36v2-Domänen (Körperschmerz, Rollenfunktion, psychische Gesundheit, soziale Funktion, Vitalität) zeigten klinisch bedeutsame Verbesserung ab Woche 12; Scores blieben über 2 Jahre stabil bei Populationsnorm (50).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International; Alectinib bereits in Deutschland zugelassen, Verträglichkeitsdaten unterstützen adjuvante Standardisierung</w:t>
      </w:r>
    </w:p>
    <w:p>
      <w:r>
        <w:rPr>
          <w:color w:val="5A7D3A"/>
          <w:sz w:val="18"/>
        </w:rPr>
        <w:t>https://pubmed.ncbi.nlm.nih.gov/42636834/</w:t>
      </w:r>
    </w:p>
    <w:p>
      <w:pPr>
        <w:pStyle w:val="Heading2"/>
      </w:pPr>
      <w:r>
        <w:t>Durvalumab+Tremelimumab+Lenvatinib+TACE versus TACE allein bei Hepatozellulärem Karzinom: PFS-Vorteil</w:t>
      </w:r>
    </w:p>
    <w:p>
      <w:r>
        <w:rPr>
          <w:i/>
          <w:color w:val="666666"/>
          <w:sz w:val="18"/>
        </w:rPr>
        <w:t>Kudo M et al.  ·  Lancet Oncol  ·  Sept. 2026  ·  PMID 42636832</w:t>
      </w:r>
    </w:p>
    <w:p>
      <w:r>
        <w:t>Phase-III-Studie EMERALD-3 mit 760 Patienten (embolisierbar, Child-Pugh A): Vergleich STRIDE (Durvalumab+Tremelimumab) mit oder ohne Lenvatinib, kombiniert mit transarterieller Chemoembolisation (TACE), versus TACE allein.</w:t>
      </w:r>
    </w:p>
    <w:p>
      <w:r>
        <w:rPr>
          <w:b/>
        </w:rPr>
        <w:t xml:space="preserve">Ergebnis: </w:t>
      </w:r>
      <w:r>
        <w:t>Median-PFS (STRIDE+Lenvatinib vs. TACE): 13,0 vs. 9,8 Monate, HR 0,70 (95% KI 0,57–0,86, p=0,0007). Median-OS: 39,5 vs. 34,7 Monate, HR 0,84 (p=0,18, nicht signifikant). Grad-3/4-AE: Hypertonie 12% (STRIDE+Lenvatinib), post-embolization-Syndrom 6% (STRIDE+TACE). 7 Treatment-Related Deaths (2%). STRIDE-Regimen als neuer Standard empfohlen.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Global, inklusive europäischer Zentren; Zulassung in Genehmigungsverfahren, AMNOG-Bewertung ausstehend</w:t>
      </w:r>
    </w:p>
    <w:p>
      <w:r>
        <w:rPr>
          <w:color w:val="5A7D3A"/>
          <w:sz w:val="18"/>
        </w:rPr>
        <w:t>https://pubmed.ncbi.nlm.nih.gov/42636832/</w:t>
      </w:r>
    </w:p>
    <w:p>
      <w:pPr>
        <w:pStyle w:val="Heading1"/>
      </w:pPr>
      <w:r>
        <w:t>Aufgenommen am 14.09.2026</w:t>
      </w:r>
    </w:p>
    <w:p>
      <w:pPr>
        <w:pStyle w:val="Heading2"/>
      </w:pPr>
      <w:r>
        <w:t>Teclistamab in smolderendem Myelom hocheffektiv: Phase-2-Trial</w:t>
      </w:r>
    </w:p>
    <w:p>
      <w:r>
        <w:rPr>
          <w:i/>
          <w:color w:val="666666"/>
          <w:sz w:val="18"/>
        </w:rPr>
        <w:t>Nadeem O et al.  ·  Nat Med  ·  11.09.2026  ·  PMID 42728379</w:t>
      </w:r>
    </w:p>
    <w:p>
      <w:r>
        <w:t>Randomisierte Phase-2-ImmunoPRISM-Studie verglich Teclistamab (BCMA-Bispecific Antibody, Fixdauer) mit Lenalidomid/Dexamethason bei 59 Patienten mit Hochrisiko-smolderendem multiplem Myelom.</w:t>
      </w:r>
    </w:p>
    <w:p>
      <w:r>
        <w:rPr>
          <w:b/>
        </w:rPr>
        <w:t xml:space="preserve">Ergebnis: </w:t>
      </w:r>
      <w:r>
        <w:t>Teclistamab: komplette Remission 77,8% vs. 0% (Rd); minimale Resterkrankung-Negativität (10-5) 82,2%; 2-Jahres-Progressionsfreies Überleben 92% vs. 49%; Grad 1–2 Zytokine-Freisetzung, kein Grade-3-Infektionsanstieg, keine Todesfälle.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Phasen-2-Studie mit Potential für Frühintervention; internationale Prüfung, Übertragbarkeit begrenzt bis zur Phase-3-Validierung.</w:t>
      </w:r>
    </w:p>
    <w:p>
      <w:r>
        <w:rPr>
          <w:color w:val="5A7D3A"/>
          <w:sz w:val="18"/>
        </w:rPr>
        <w:t>https://pubmed.ncbi.nlm.nih.gov/42728379/</w:t>
      </w:r>
    </w:p>
    <w:p>
      <w:pPr>
        <w:pStyle w:val="Heading2"/>
      </w:pPr>
      <w:r>
        <w:t>HCC-Management in Asien nach europäischen Leitlinien adaptiert</w:t>
      </w:r>
    </w:p>
    <w:p>
      <w:r>
        <w:rPr>
          <w:i/>
          <w:color w:val="666666"/>
          <w:sz w:val="18"/>
        </w:rPr>
        <w:t>Tan CK et al.  ·  ESMO Open  ·  09.07.2026  ·  PMID 42660571</w:t>
      </w:r>
    </w:p>
    <w:p>
      <w:r>
        <w:t>Pan-asiatische Expertengruppe adaptierte ESMO-Leitlinien zu Diagnose, Therapie und Nachsorge des Hepatozellulären Karzinoms für zehn asiatische Länder.</w:t>
      </w:r>
    </w:p>
    <w:p>
      <w:r>
        <w:rPr>
          <w:b/>
        </w:rPr>
        <w:t xml:space="preserve">Ergebnis: </w:t>
      </w:r>
      <w:r>
        <w:t>Konsens-Richtlinie mit regionsspezifischen Empfehlungen verabschiedet; Fokus auf harmonisierte Behandlung und Zugang trotz regionaler Unterschiede in Arzneimittelzulassung und Erstattung.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Leitlinie mit europäischen Standards, aber auch asiatischen Besonderheiten; teilweise auf deutsches System übertragbar.</w:t>
      </w:r>
    </w:p>
    <w:p>
      <w:r>
        <w:rPr>
          <w:color w:val="5A7D3A"/>
          <w:sz w:val="18"/>
        </w:rPr>
        <w:t>https://pubmed.ncbi.nlm.nih.gov/42660571/</w:t>
      </w:r>
    </w:p>
    <w:p>
      <w:pPr>
        <w:pStyle w:val="Heading2"/>
      </w:pPr>
      <w:r>
        <w:t>Epigenetisches Altern in Dickdarmgewebe zeigt Lebensstilfaktoren-Einfluss</w:t>
      </w:r>
    </w:p>
    <w:p>
      <w:r>
        <w:rPr>
          <w:i/>
          <w:color w:val="666666"/>
          <w:sz w:val="18"/>
        </w:rPr>
        <w:t>Hardikar S et al.  ·  J Natl Cancer Inst  ·  25.08.2026  ·  PMID 42640567</w:t>
      </w:r>
    </w:p>
    <w:p>
      <w:r>
        <w:t>Analyse von epigenetischen Alterungsmodellen (Horvath, Hannum, Zhang u.a.) in Kolonialgewebe von 554 Proben (96 normal, 245 angrenzend, 208 Tumore) zur Untersuchung von Zusammenhängen mit Lebensstilfaktoren und Krebsentwicklung.</w:t>
      </w:r>
    </w:p>
    <w:p>
      <w:r>
        <w:rPr>
          <w:b/>
        </w:rPr>
        <w:t xml:space="preserve">Ergebnis: </w:t>
      </w:r>
      <w:r>
        <w:t>Horvath-Modell zeigte beste Korrelation mit chronologischem Alter (r &gt;0,70) in normalem Gewebe; signifikante Alters-Beschleunigung in tumoren vs. normal/angrenzend bei allen Modellen; körperliche Aktivität (PhenoAge), Rauchen (GrimAge) und Alkoholkonsum (Horvath, Mitose-Uhren) assoziiert mit epigenetischem Altern in angrenzender Mukosa.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USA/deutsche Zentren, diverse Populationen; Grundlagenforschung zu Risikostratifikation.</w:t>
      </w:r>
    </w:p>
    <w:p>
      <w:r>
        <w:rPr>
          <w:color w:val="5A7D3A"/>
          <w:sz w:val="18"/>
        </w:rPr>
        <w:t>https://pubmed.ncbi.nlm.nih.gov/42640567/</w:t>
      </w:r>
    </w:p>
    <w:p>
      <w:pPr>
        <w:pStyle w:val="Heading2"/>
      </w:pPr>
      <w:r>
        <w:t>Tebentafusp gegen Uveales Melanom im UK-Programm wirksam wie Phase-3-Daten</w:t>
      </w:r>
    </w:p>
    <w:p>
      <w:r>
        <w:rPr>
          <w:i/>
          <w:color w:val="666666"/>
          <w:sz w:val="18"/>
        </w:rPr>
        <w:t>Joseph M et al.  ·  Oncologist  ·  09.09.2026  ·  PMID 42640561</w:t>
      </w:r>
    </w:p>
    <w:p>
      <w:r>
        <w:t>Retrospektive Real-World-Effektivitäts- und Toxizitäts-Analyse der UK Expanded Access Programme (EAP) mit 88 Patienten mit metastasiertem uvealen Melanom, behandelt Juli 2021–Juni 2023.</w:t>
      </w:r>
    </w:p>
    <w:p>
      <w:r>
        <w:rPr>
          <w:b/>
        </w:rPr>
        <w:t xml:space="preserve">Ergebnis: </w:t>
      </w:r>
      <w:r>
        <w:t>Medianes Gesamtüberleben 21 Monate (95%-KI 17-NR); medianes progressionsfreies Überleben 2,76 Monate (95%-KI 2,53–3,22); 12-Monats-Überlebenrate 75% (95%-KI 66,1–85,6); niedrigere LDH und niedrigere Leberlastung tendierten zu besserem Überleben; LDH ≥2× obere Normgrenze zeigte sehr schlechte Prognose; keine Grade ≥3 Toxizität nach Dosis 5.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Britisches NHS-System, vergleichbar mit deutschem, Real-World-Evidenz für Kostenträger relevant.</w:t>
      </w:r>
    </w:p>
    <w:p>
      <w:r>
        <w:rPr>
          <w:color w:val="5A7D3A"/>
          <w:sz w:val="18"/>
        </w:rPr>
        <w:t>https://pubmed.ncbi.nlm.nih.gov/42640561/</w:t>
      </w:r>
    </w:p>
    <w:p>
      <w:pPr>
        <w:pStyle w:val="Heading2"/>
      </w:pPr>
      <w:r>
        <w:t>Daratumumab+Lenalidomid verlängert Überleben im älteren Myelom dauerhaft</w:t>
      </w:r>
    </w:p>
    <w:p>
      <w:r>
        <w:rPr>
          <w:i/>
          <w:color w:val="666666"/>
          <w:sz w:val="18"/>
        </w:rPr>
        <w:t>Facon T et al.  ·  Leukemia  ·  24.08.2026  ·  PMID 42637879</w:t>
      </w:r>
    </w:p>
    <w:p>
      <w:r>
        <w:t>Finale Analyse der MAIA-Studie: Randomisierte Phase-III-Prüfung zu Daratumumab+Lenalidomid/Dexamethason (D-Rd) vs. Lenalidomid/Dexamethason (Rd) bei 737 nicht-transplant-fähigen Patienten mit neu diagnostiziertem multiplem Myelom.</w:t>
      </w:r>
    </w:p>
    <w:p>
      <w:r>
        <w:rPr>
          <w:b/>
        </w:rPr>
        <w:t xml:space="preserve">Ergebnis: </w:t>
      </w:r>
      <w:r>
        <w:t>Medianes Gesamtüberleben: 90,3 Monate (D-Rd) vs. 64,1 Monate (Rd), HR 0,67 (95%-KI 0,55–0,82); 7-Jahres-Überleben 53,1% vs. 39,3%; mediane Zeit bis Folgetherapie nicht erreicht vs. 42,4 Monate. Follow-up &gt;7 Jahre.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Studie; Basis für Leitlinienstandard bei älteren Patienten, in Deutschland anwendbar.</w:t>
      </w:r>
    </w:p>
    <w:p>
      <w:r>
        <w:rPr>
          <w:color w:val="5A7D3A"/>
          <w:sz w:val="18"/>
        </w:rPr>
        <w:t>https://pubmed.ncbi.nlm.nih.gov/42637879/</w:t>
      </w:r>
    </w:p>
    <w:p>
      <w:pPr>
        <w:pStyle w:val="Heading2"/>
      </w:pPr>
      <w:r>
        <w:t>Olaparib-Erhaltung bei BRCA-mutiertem Brustkrebs: 6-Jahres-Vorteile halten an</w:t>
      </w:r>
    </w:p>
    <w:p>
      <w:r>
        <w:rPr>
          <w:i/>
          <w:color w:val="666666"/>
          <w:sz w:val="18"/>
        </w:rPr>
        <w:t>Garber JE et al.  ·  Ann Oncol  ·  24.08.2026  ·  PMID 42636977</w:t>
      </w:r>
    </w:p>
    <w:p>
      <w:r>
        <w:t>Dritte geplante Zwischenanalyse der randomisierten Phase-III-OlympiA-Studie zu adjuvantem Olaparib (PARP-Inhibitor) versus Placebo nach Chemotherapie bei 1.836 Patientinnen mit Keimbahn-BRCA-Mutation und HER2-negativem Hochrisiko-Brustkrebs.</w:t>
      </w:r>
    </w:p>
    <w:p>
      <w:r>
        <w:rPr>
          <w:b/>
        </w:rPr>
        <w:t xml:space="preserve">Ergebnis: </w:t>
      </w:r>
      <w:r>
        <w:t>Bei 6,1 Jahren medianer Nachbeobachtung: Invasives rezidivfreies Überleben (HR 0,65; 95%-KI 0,53–0,78), Gesamtüberleben (HR 0,72; 95%-KI 0,56–0,93); 6-Jahres-Überleben 87,5% vs. 83,2%; keine neuen Sicherheitssignale, kein erhöhtes MDS/AML-Risiko (0,4% vs. 0,7%).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Studie mit europäischen und deutschen Zentren; Befund ändert Leitlinienempfehlungen.</w:t>
      </w:r>
    </w:p>
    <w:p>
      <w:r>
        <w:rPr>
          <w:color w:val="5A7D3A"/>
          <w:sz w:val="18"/>
        </w:rPr>
        <w:t>https://pubmed.ncbi.nlm.nih.gov/42636977/</w:t>
      </w:r>
    </w:p>
    <w:p>
      <w:pPr>
        <w:pStyle w:val="Heading1"/>
      </w:pPr>
      <w:r>
        <w:t>Aufgenommen am 13.09.2026</w:t>
      </w:r>
    </w:p>
    <w:p>
      <w:pPr>
        <w:pStyle w:val="Heading2"/>
      </w:pPr>
      <w:r>
        <w:t>Genomische Alterationen in Hirn-Metastasen von Brustkrebs: 76,8 % haben therapeutisch nutzbare Targets</w:t>
      </w:r>
    </w:p>
    <w:p>
      <w:r>
        <w:rPr>
          <w:i/>
          <w:color w:val="666666"/>
          <w:sz w:val="18"/>
        </w:rPr>
        <w:t>Griguolo G et al.  ·  ESMO Open  ·  11.09.2026  ·  PMID 42727421</w:t>
      </w:r>
    </w:p>
    <w:p>
      <w:r>
        <w:t>Whole-exome-Sequenzierung von 56 Hirn-Metastasen-Proben aus Brustkrebs-Patienten zur Identifikation klinisch umsetzbarer genomischer Alterationen nach ESCAT-Kriterien.</w:t>
      </w:r>
    </w:p>
    <w:p>
      <w:r>
        <w:rPr>
          <w:b/>
        </w:rPr>
        <w:t xml:space="preserve">Ergebnis: </w:t>
      </w:r>
      <w:r>
        <w:t>76,8 % zeigten ESCAT-I/II-Alterationen; häufigste waren DNA-Reparatur-Gene (BRCA1/2/PALB2: 53,6 %); biallele Inaktivierung bei 19,6 % (höher bei HER2-negativ: 26 % HR-neg/HER2-neg, 21 % HR-pos/HER2-neg); PIK3CA/AKT1/PTEN-Alterationen in 48,2 %; kein ESR1 in HR-positiven; hotspot PIK3CA bei HER2-positivem assoziiert mit schlechterer Prognose.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Italienisch-französische Kooperation, ESCAT-Klassifikation europäisch – direkt auf deutsches Targeting-System übertragbar.</w:t>
      </w:r>
    </w:p>
    <w:p>
      <w:r>
        <w:rPr>
          <w:color w:val="5A7D3A"/>
          <w:sz w:val="18"/>
        </w:rPr>
        <w:t>https://pubmed.ncbi.nlm.nih.gov/42727421/</w:t>
      </w:r>
    </w:p>
    <w:p>
      <w:pPr>
        <w:pStyle w:val="Heading2"/>
      </w:pPr>
      <w:r>
        <w:t>Hautkrebs-Bestrahlungen um 79% gestiegen: Trends der Radioonkologie 2015–2022</w:t>
      </w:r>
    </w:p>
    <w:p>
      <w:r>
        <w:rPr>
          <w:i/>
          <w:color w:val="666666"/>
          <w:sz w:val="18"/>
        </w:rPr>
        <w:t>Diefenhardt M et al.  ·  Strahlenther Onkol  ·  11.09.2026  ·  PMID 42726226</w:t>
      </w:r>
    </w:p>
    <w:p>
      <w:r>
        <w:t>Retrospektive Analyse von 8.842 Patienten in einer deutschen Uniklinik-Radiotherapie zwischen 2015 und 2022 zu Trends in Tumorentitäten, Alter und Behandlungsabständen.</w:t>
      </w:r>
    </w:p>
    <w:p>
      <w:r>
        <w:rPr>
          <w:b/>
        </w:rPr>
        <w:t xml:space="preserve">Ergebnis: </w:t>
      </w:r>
      <w:r>
        <w:t>Hautkrebs-Bestrahlungen stiegen um 79 %, Prostata um 10 %, Medianalter von 62 auf 64 Jahre; 47 % der Patienten kamen aus 10-km-Radius; Pandemie 2020-2021 führte zu keinen signifikanten Veränderungen in Patientenzahlen oder Tumortyp-Verteilung.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Uniklinik-Daten, direkt auf deutsches Radiotherapie-Versorgungssystem übertragbar.</w:t>
      </w:r>
    </w:p>
    <w:p>
      <w:r>
        <w:rPr>
          <w:color w:val="5A7D3A"/>
          <w:sz w:val="18"/>
        </w:rPr>
        <w:t>https://pubmed.ncbi.nlm.nih.gov/42726226/</w:t>
      </w:r>
    </w:p>
    <w:p>
      <w:pPr>
        <w:pStyle w:val="Heading2"/>
      </w:pPr>
      <w:r>
        <w:t>Cell-free DNA in Großzelliger B-Zell-Lymphom: technische Anforderungen für Minimal-Residual-Disease-Monitoring</w:t>
      </w:r>
    </w:p>
    <w:p>
      <w:r>
        <w:rPr>
          <w:i/>
          <w:color w:val="666666"/>
          <w:sz w:val="18"/>
        </w:rPr>
        <w:t>Krupka JA et al.  ·  Blood  ·  03.09.2026  ·  PMID 42691013</w:t>
      </w:r>
    </w:p>
    <w:p>
      <w:r>
        <w:t>Narrative Übersichtsarbeit zu ctDNA-Einsatz im diffusen großzelligen B-Zell-Lymphom mit Fokus auf technische Herausforderungen, Assay-Design und klinische Implementierung.</w:t>
      </w:r>
    </w:p>
    <w:p>
      <w:r>
        <w:rPr>
          <w:b/>
        </w:rPr>
        <w:t xml:space="preserve">Ergebnis: </w:t>
      </w:r>
      <w:r>
        <w:t>Tumor-informierte Assays mit mehreren genetischen Markern verbessern Sensitivität des Monitoring substanziell; Standardisierung und prospektive Validierung sind notwendig für Routineimplementierung; niedrige ctDNA-Häufigkeit und Unterscheidung von niedrigen Allel-Fraktionen bleiben Hauptprobleme.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Technisches Review ohne spezifische Zahlen, eher Empfehlungscharakter; europäische Kontributoren.</w:t>
      </w:r>
    </w:p>
    <w:p>
      <w:r>
        <w:rPr>
          <w:color w:val="5A7D3A"/>
          <w:sz w:val="18"/>
        </w:rPr>
        <w:t>https://pubmed.ncbi.nlm.nih.gov/42691013/</w:t>
      </w:r>
    </w:p>
    <w:p>
      <w:pPr>
        <w:pStyle w:val="Heading2"/>
      </w:pPr>
      <w:r>
        <w:t>Tumor-Protein ADAMTSL4 treibt Kachexie durch TGFβ-Aktivierung – therapeutisches Ziel identifiziert</w:t>
      </w:r>
    </w:p>
    <w:p>
      <w:r>
        <w:rPr>
          <w:i/>
          <w:color w:val="666666"/>
          <w:sz w:val="18"/>
        </w:rPr>
        <w:t>Machado J et al.  ·  Cancer Discov  ·  01.09.2026  ·  PMID 42678278</w:t>
      </w:r>
    </w:p>
    <w:p>
      <w:r>
        <w:t>Mechanistische Studie in Modellen und Patienten mit kolorektalem und Lungenkarzinom zur Rolle von Tumor-Sekretion von ADAMTSL4 in der Pathogenese von Krebs-Kachexie.</w:t>
      </w:r>
    </w:p>
    <w:p>
      <w:r>
        <w:rPr>
          <w:b/>
        </w:rPr>
        <w:t xml:space="preserve">Ergebnis: </w:t>
      </w:r>
      <w:r>
        <w:t>ADAMTSL4-Überexpression machte nicht-kachektische Tumoren zu kachektischen; ADAMTSL4-Knockout reduzierte Muskelatrophie-Signaturen und Kachexie-Schweregrad; erhöhte zirkulierende ADAMTSL4-Level waren mit TGFβ-getriebener Muskelatrophie in Kachexie-Patienten assoziiert; ADAMTSL4-Blockade könnte selektive Therapie ohne systemische TGFβ-Blockade ermöglichen.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 mit deutschen und internationalen Zentren; präklinisches Modell mit klinischer Validierung – Weg zur Therapeutik erkennbar.</w:t>
      </w:r>
    </w:p>
    <w:p>
      <w:r>
        <w:rPr>
          <w:color w:val="5A7D3A"/>
          <w:sz w:val="18"/>
        </w:rPr>
        <w:t>https://pubmed.ncbi.nlm.nih.gov/42678278/</w:t>
      </w:r>
    </w:p>
    <w:p>
      <w:pPr>
        <w:pStyle w:val="Heading2"/>
      </w:pPr>
      <w:r>
        <w:t>Durvalumab perioperativ bei resektablem NSCLC: AEGEAN-Phase-III-Studie verbessert ereignisfreies Überleben</w:t>
      </w:r>
    </w:p>
    <w:p>
      <w:r>
        <w:rPr>
          <w:i/>
          <w:color w:val="666666"/>
          <w:sz w:val="18"/>
        </w:rPr>
        <w:t>Heymach JV et al.  ·  J Clin Oncol  ·  28.08.2026  ·  PMID 42664473</w:t>
      </w:r>
    </w:p>
    <w:p>
      <w:r>
        <w:t>Phase-III-Studie mit 740 Patienten zu neoadjuvanter Chemotherapie plus Durvalumab oder Placebo vor Operation und anschließender adjuvanter Durvalumab/Placebo-Therapie beim resektablen NSCLC Stadium II-IIIB.</w:t>
      </w:r>
    </w:p>
    <w:p>
      <w:r>
        <w:rPr>
          <w:b/>
        </w:rPr>
        <w:t xml:space="preserve">Ergebnis: </w:t>
      </w:r>
      <w:r>
        <w:t>Durvalumab reduzierte ereignisfreies Überleben (HR 0,69; 95%-KI 0,55–0,88), Zahlentrend für progressionsfreies Überleben (HR 0,66) und Gesamtüberleben (HR 0,89); Grad-3/4-Nebenwirkungen unter adjuvanter Therapie: 15,4 % vs. 10,6 % Placebo; Sicherheitsprofil konsistent mit Einzelsubstanzen.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Phase-III-Studie mit europäischen Zentren; praxisverändernd bei AMNOG und Zulassung.</w:t>
      </w:r>
    </w:p>
    <w:p>
      <w:r>
        <w:rPr>
          <w:color w:val="5A7D3A"/>
          <w:sz w:val="18"/>
        </w:rPr>
        <w:t>https://pubmed.ncbi.nlm.nih.gov/42664473/</w:t>
      </w:r>
    </w:p>
    <w:p>
      <w:pPr>
        <w:pStyle w:val="Heading2"/>
      </w:pPr>
      <w:r>
        <w:t>Dynamisches Prognose-Modell CIRI2-CLL für Rezidivrisiko nach limitierter Therapie verbessert Vorhersage um bis zu 37 %</w:t>
      </w:r>
    </w:p>
    <w:p>
      <w:r>
        <w:rPr>
          <w:i/>
          <w:color w:val="666666"/>
          <w:sz w:val="18"/>
        </w:rPr>
        <w:t>Al-Sawaf O et al.  ·  J Clin Oncol  ·  27.08.2026  ·  PMID 42659576</w:t>
      </w:r>
    </w:p>
    <w:p>
      <w:r>
        <w:t>Validierungsstudie eines verfeinerten kontinuierlichen Risikoindex (CIRI2-CLL) zur Prognosebestimmung nach limitierter Behandlung der chronischen lymphatischen Leukämie mit Minimal-Residual-Disease-Status.</w:t>
      </w:r>
    </w:p>
    <w:p>
      <w:r>
        <w:rPr>
          <w:b/>
        </w:rPr>
        <w:t xml:space="preserve">Ergebnis: </w:t>
      </w:r>
      <w:r>
        <w:t>CIRI2-CLL zeigte gute Kalibrierung (ca. 5 % Differenz zwischen beobachteter und vorhergesagter Ereigniswahrscheinlichkeit); C-Statistik 0,82–0,98 an allen Zeitpunkten; 14–37 % Verbesserung der PFS-Vorhersage gegenüber MRD und CLL-IPI; 3-Jahres-PFS: 100,0 % (niedrig), 70,2 % (mittel), 10,8 % (hoch); Modell frei verfügbar auf Stanford-Plattform für individualisierte Therapieentscheidung.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CLL-Studiengruppe führend; validiert in europäischen und internationalen Kohorten.</w:t>
      </w:r>
    </w:p>
    <w:p>
      <w:r>
        <w:rPr>
          <w:color w:val="5A7D3A"/>
          <w:sz w:val="18"/>
        </w:rPr>
        <w:t>https://pubmed.ncbi.nlm.nih.gov/42659576/</w:t>
      </w:r>
    </w:p>
    <w:p>
      <w:pPr>
        <w:pStyle w:val="Heading1"/>
      </w:pPr>
      <w:r>
        <w:t>Aufgenommen am 12.09.2026</w:t>
      </w:r>
    </w:p>
    <w:p>
      <w:pPr>
        <w:pStyle w:val="Heading2"/>
      </w:pPr>
      <w:r>
        <w:t>PRO-Symptommonitoring bei Lungenkrebspatienten verlängert Gesamtüberleben um 5 Monate</w:t>
      </w:r>
    </w:p>
    <w:p>
      <w:r>
        <w:rPr>
          <w:i/>
          <w:color w:val="666666"/>
          <w:sz w:val="18"/>
        </w:rPr>
        <w:t>Hassing MJ et al.  ·  Lancet Oncol  ·  11.09.2026  ·  PMID 42727592</w:t>
      </w:r>
    </w:p>
    <w:p>
      <w:r>
        <w:t>Randomisierte niederländische Studie (14 medizinische Zentren, Stepped-Wedge-Design) zur Wirkung wöchentlicher Online-Symptomselbstberichte auf Überleben bei Patienten mit Lung Cancer im Stadium I-IV unter Behandlung.</w:t>
      </w:r>
    </w:p>
    <w:p>
      <w:r>
        <w:rPr>
          <w:b/>
        </w:rPr>
        <w:t xml:space="preserve">Ergebnis: </w:t>
      </w:r>
      <w:r>
        <w:t>Bei 446 Patienten (median 50 Monate Follow-up): Median Overall Survival in der Intervention 26 Monate versus Kontrolle 21 Monate (Hazard Ratio 0,80; 95%-CI 0,63–1,00; p=0,049). Progression-Free Survival zeigte keinen signifikanten Unterschied (HR 0,86; p=0,18). Praxisrelevant: strukturierte Patient-Reported Outcomes ermöglichen 5-Monate-Gewinn bei aktuellen Therapien.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 Klinikdaten mit Versorgungsauftrag ähnlich Deutschland</w:t>
      </w:r>
    </w:p>
    <w:p>
      <w:r>
        <w:rPr>
          <w:color w:val="5A7D3A"/>
          <w:sz w:val="18"/>
        </w:rPr>
        <w:t>https://pubmed.ncbi.nlm.nih.gov/42727592/</w:t>
      </w:r>
    </w:p>
    <w:p>
      <w:pPr>
        <w:pStyle w:val="Heading2"/>
      </w:pPr>
      <w:r>
        <w:t>Trastuzumab Botidotin gegenüber Trastuzumab Emtansine: 11,1 vs. 4,4 Monate progressionsfreies Überleben</w:t>
      </w:r>
    </w:p>
    <w:p>
      <w:r>
        <w:rPr>
          <w:i/>
          <w:color w:val="666666"/>
          <w:sz w:val="18"/>
        </w:rPr>
        <w:t>Zhang J et al.  ·  J Clin Oncol  ·  11.09.2026  ·  PMID 42727044</w:t>
      </w:r>
    </w:p>
    <w:p>
      <w:r>
        <w:t>Phase-III-Studie (365 Patienten, China, 57 Zentren) mit randomisierter Direktvergleich zweier HER2-gerichteter Antikörper-Wirkstoff-Konjugate bei vorbehandeltem HER2-positivem metastasiertem Brustkrebs.</w:t>
      </w:r>
    </w:p>
    <w:p>
      <w:r>
        <w:rPr>
          <w:b/>
        </w:rPr>
        <w:t xml:space="preserve">Ergebnis: </w:t>
      </w:r>
      <w:r>
        <w:t>Trastuzumab Botidotin vs. Trastuzumab Emtansine: medianes Progression-Free Survival 11,1 vs. 4,4 Monate (HR 0,39; p&lt;0,0001); Objective Response Rate 76,9% vs. 53,0%. Grade ≥3 unerwünschte Ereignisse 69,8% vs. 63,7%, höchste Inzidenz bei Augenoberflächen-Toxizität (47,7%), aber meist reversibel.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China-Studie, Botidotin hat EU-Zulassung; Übertragbarkeit für deutsche Zentren gegeben</w:t>
      </w:r>
    </w:p>
    <w:p>
      <w:r>
        <w:rPr>
          <w:color w:val="5A7D3A"/>
          <w:sz w:val="18"/>
        </w:rPr>
        <w:t>https://pubmed.ncbi.nlm.nih.gov/42727044/</w:t>
      </w:r>
    </w:p>
    <w:p>
      <w:pPr>
        <w:pStyle w:val="Heading2"/>
      </w:pPr>
      <w:r>
        <w:t>Lokale Therapie + Immune Checkpoint Inhibitor bei rezidiviertem/metastasiertem Nasopharynxkarzinom: 30,5 vs. 16,8 Monate PFS</w:t>
      </w:r>
    </w:p>
    <w:p>
      <w:r>
        <w:rPr>
          <w:i/>
          <w:color w:val="666666"/>
          <w:sz w:val="18"/>
        </w:rPr>
        <w:t>Chen X et al.  ·  Eur J Cancer  ·  27.08.2026  ·  PMID 42721861</w:t>
      </w:r>
    </w:p>
    <w:p>
      <w:r>
        <w:t>Retrospektive chinesische Studie (223 Patienten, Fudan University Shanghai) zum Vergleich von ICI allein versus lokale Therapie kombiniert mit ICI (LOCI) bei rezidiviertem oder metastasiertem Nasopharynxkarzinom; IPTW und Propensity-Score-Matching zur Confounding-Kontrolle.</w:t>
      </w:r>
    </w:p>
    <w:p>
      <w:r>
        <w:rPr>
          <w:b/>
        </w:rPr>
        <w:t xml:space="preserve">Ergebnis: </w:t>
      </w:r>
      <w:r>
        <w:t>Median Progression-Free Survival mit LOCI 30,53 Monate vs. ICI allein 16,77 Monate (HR 0,524; 95%-CI 0,339–0,785; log-rank p=0,0014). Benefit nach PSM und IPTW-Adjustment bestätigt. Bei lokalem Rezidiv oder Nodusbefall (LRR-NPC): verbessertes Distant-Metastasis-Free-Survival (HR 0,437). Bei Oligometastasen (≤3 Läsionen) ebenfalls PFS-Vorteil (HR 0,458; p=0,0416).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Strahlentherapie mit ICI-Standard auch europäisch; Real-World-Ansatz übertragbar</w:t>
      </w:r>
    </w:p>
    <w:p>
      <w:r>
        <w:rPr>
          <w:color w:val="5A7D3A"/>
          <w:sz w:val="18"/>
        </w:rPr>
        <w:t>https://pubmed.ncbi.nlm.nih.gov/42721861/</w:t>
      </w:r>
    </w:p>
    <w:p>
      <w:pPr>
        <w:pStyle w:val="Heading2"/>
      </w:pPr>
      <w:r>
        <w:t>EORTC QLQ-CHI: erste Lebensqualitätsskala speziell für Kinder mit Krebs (8–14 Jahre)</w:t>
      </w:r>
    </w:p>
    <w:p>
      <w:r>
        <w:rPr>
          <w:i/>
          <w:color w:val="666666"/>
          <w:sz w:val="18"/>
        </w:rPr>
        <w:t>Vetrano C et al.  ·  Eur J Cancer  ·  05.10.2026  ·  PMID 42685381</w:t>
      </w:r>
    </w:p>
    <w:p>
      <w:r>
        <w:t>Mixed-Methods-Studie (Phasen I/II) zur Entwicklung eines EORTC-Fragebogenmoduls; 47 Kinder, 45 Eltern, 22 Fachleute aus 6 Ländern; Leitlinien der EORTC Quality-of-Life Group.</w:t>
      </w:r>
    </w:p>
    <w:p>
      <w:r>
        <w:rPr>
          <w:b/>
        </w:rPr>
        <w:t xml:space="preserve">Ergebnis: </w:t>
      </w:r>
      <w:r>
        <w:t>57 Schlüsselprobleme identifiziert aus 1.200+ initial bewerteten Aspekten (Vergleich Kinder-, Eltern- und Fachperspektive). Kinder präferierten 4 Antwortoptionen (70,0%) und kürzere Recall-Periode (43,3%). Fragebogen mit 50 Items in zwei Skalenbereiche eingeteilt: symptomorientiert und psychosozial. Nächste Schritte: Pilottestung (Phase III/IV), Validierung.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Netzwerk (EORTC), Grundlage für standardisierte Erfassung in Zentren</w:t>
      </w:r>
    </w:p>
    <w:p>
      <w:r>
        <w:rPr>
          <w:color w:val="5A7D3A"/>
          <w:sz w:val="18"/>
        </w:rPr>
        <w:t>https://pubmed.ncbi.nlm.nih.gov/42685381/</w:t>
      </w:r>
    </w:p>
    <w:p>
      <w:pPr>
        <w:pStyle w:val="Heading2"/>
      </w:pPr>
      <w:r>
        <w:t>Tislelizumab + Chemotherapie bei Ösophaguskarzinom: 45-Monate-Überleben</w:t>
      </w:r>
    </w:p>
    <w:p>
      <w:r>
        <w:rPr>
          <w:i/>
          <w:color w:val="666666"/>
          <w:sz w:val="18"/>
        </w:rPr>
        <w:t>Tougeron D et al.  ·  ESMO Open  ·  27.08.2026  ·  PMID 42659894</w:t>
      </w:r>
    </w:p>
    <w:p>
      <w:r>
        <w:t>Randomisierte Phase-III-Studie (RATIONALE-306) mit 649 Patienten weltweit; Analyse der Subgruppe mit PD-L1 Tumor Area Positivity ≥5% im Langzeit-Follow-up.</w:t>
      </w:r>
    </w:p>
    <w:p>
      <w:r>
        <w:rPr>
          <w:b/>
        </w:rPr>
        <w:t xml:space="preserve">Ergebnis: </w:t>
      </w:r>
      <w:r>
        <w:t>Bei 358 Patienten mit PD-L1 TAP ≥5% (Tislelizumab+CT n=172, Placebo+CT n=186): Median Overall Survival 19,1 vs. 10,0 Monate (HR 0,61); Progression-Free Survival 8,2 vs. 5,5 Monate (HR 0,50); Objektive Ansprechrate 71,5% vs. 41,4%. Haltbarkeit über 45 Monate bestätigt; Sicherheitsprofil unverändert.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Studie, Therapie europäisch zugelassen (EMA-Empfehlung PD-L1-Stratifizierung)</w:t>
      </w:r>
    </w:p>
    <w:p>
      <w:r>
        <w:rPr>
          <w:color w:val="5A7D3A"/>
          <w:sz w:val="18"/>
        </w:rPr>
        <w:t>https://pubmed.ncbi.nlm.nih.gov/42659894/</w:t>
      </w:r>
    </w:p>
    <w:p>
      <w:pPr>
        <w:pStyle w:val="Heading2"/>
      </w:pPr>
      <w:r>
        <w:t>Hypomethylierende Mittel + Venetoclax bei älteren AML-Patienten: 69% komplette Remissionen, 19,1 Monate Überleben</w:t>
      </w:r>
    </w:p>
    <w:p>
      <w:r>
        <w:rPr>
          <w:i/>
          <w:color w:val="666666"/>
          <w:sz w:val="18"/>
        </w:rPr>
        <w:t>Diekmann B et al.  ·  Eur J Cancer  ·  05.10.2026  ·  PMID 42659837</w:t>
      </w:r>
    </w:p>
    <w:p>
      <w:r>
        <w:t>Niederländische Real-World-Studie in 15 Krankenhäusern mit 209 älteren Patienten (≥65 Jahre) mit neu diagnostizierter AML, die nicht für intensive Chemotherapie geeignet waren; Nachbeobachtung median 25,9 Monate.</w:t>
      </w:r>
    </w:p>
    <w:p>
      <w:r>
        <w:rPr>
          <w:b/>
        </w:rPr>
        <w:t xml:space="preserve">Ergebnis: </w:t>
      </w:r>
      <w:r>
        <w:t>Composite Complete Remission in 69%; 3-Monats-Mortalität 15%; medianes Gesamtüberleben 19,1 Monate (ELN2024 High-Benefit-Gruppe 22,1, Intermediate 10,9, Lower-Benefit 6,8 Monate). Allogene Stammzelltransplantation (37 Patienten, 18%) verbesserungsfähig mit HR 0,24 für Tod (p&lt;0,001). Antifungale Agenten in 72% der ersten Zyklen assoziiert mit reduzierter Mortalität (HR 0,605; p=0,010).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Niederländisches Versicherungssystem, vergleichbar Deutschland; Dosierungsoptimierung und Wechselwirkungen reduzieren Kosten</w:t>
      </w:r>
    </w:p>
    <w:p>
      <w:r>
        <w:rPr>
          <w:color w:val="5A7D3A"/>
          <w:sz w:val="18"/>
        </w:rPr>
        <w:t>https://pubmed.ncbi.nlm.nih.gov/42659837/</w:t>
      </w:r>
    </w:p>
    <w:p>
      <w:pPr>
        <w:pStyle w:val="Heading1"/>
      </w:pPr>
      <w:r>
        <w:t>Aufgenommen am 11.09.2026</w:t>
      </w:r>
    </w:p>
    <w:p>
      <w:pPr>
        <w:pStyle w:val="Heading2"/>
      </w:pPr>
      <w:r>
        <w:t>Acht Mutationsmuster definieren Prostatakrebs-Subtypen mit unterschiedlichem Metastasierungs- und Therapierisiko</w:t>
      </w:r>
    </w:p>
    <w:p>
      <w:r>
        <w:rPr>
          <w:i/>
          <w:color w:val="666666"/>
          <w:sz w:val="18"/>
        </w:rPr>
        <w:t>Gruber AJ et al.  ·  Nature  ·  09.09.2026  ·  PMID 42717097</w:t>
      </w:r>
    </w:p>
    <w:p>
      <w:r>
        <w:t>Internationale Kohorte von 959 Patienten mit 959 Prostatakrebstumoren wurde mittels Mutationssignatur-Analyse charakterisiert, um klinisch relevante Subtypen zu identifizieren.</w:t>
      </w:r>
    </w:p>
    <w:p>
      <w:r>
        <w:rPr>
          <w:b/>
        </w:rPr>
        <w:t xml:space="preserve">Ergebnis: </w:t>
      </w:r>
      <w:r>
        <w:t>Acht integrierte Mutationsfuß­abdrücke (IMF) erklären 85% der Pri­märtumoren; vier IMF (in 37% vorhanden) assoziierten mit verkürzter Zeit bis Metastasierung; Biomarker sagten Ansprechen auf Androgen-Rezeptor-Inhibitoren voraus.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Zentren, deutsche DKFZ-Beteiligung; Grundlage für zukünftige Risikoschichtung im deutschen Versorgungssystem.</w:t>
      </w:r>
    </w:p>
    <w:p>
      <w:r>
        <w:rPr>
          <w:color w:val="5A7D3A"/>
          <w:sz w:val="18"/>
        </w:rPr>
        <w:t>https://pubmed.ncbi.nlm.nih.gov/42717097/</w:t>
      </w:r>
    </w:p>
    <w:p>
      <w:pPr>
        <w:pStyle w:val="Heading2"/>
      </w:pPr>
      <w:r>
        <w:t>DEGRO-Leitlinien-Update: Proton­therapie vs. Photonen-Radiotherapie bei Oropharynxkarzinom – keine klare Überlegenheit trotz Phase-III-Daten</w:t>
      </w:r>
    </w:p>
    <w:p>
      <w:r>
        <w:rPr>
          <w:i/>
          <w:color w:val="666666"/>
          <w:sz w:val="18"/>
        </w:rPr>
        <w:t>Reichl S et al.  ·  Strahlenther Onkol  ·  07.09.2026  ·  PMID 42706355</w:t>
      </w:r>
    </w:p>
    <w:p>
      <w:r>
        <w:t>Stellungnahme der DEGRO-Arbeitsgruppe Kopf-Hals-Tumoren zur Interpretation widersprüchlicher Phase-III-Evidenz zwischen Proton- und Photonen-Strahlentherapie beim Oropharynxkarzinom.</w:t>
      </w:r>
    </w:p>
    <w:p>
      <w:r>
        <w:rPr>
          <w:b/>
        </w:rPr>
        <w:t xml:space="preserve">Ergebnis: </w:t>
      </w:r>
      <w:r>
        <w:t>Panel-Konsens: Protontherapie zeigt in einzelnen Studien Vorteile bei Reduktion von Nebenwirkungen, aber keine konsistente Überlegenheit beim Gesamt­überleben; Empfehlung für Risk-adaptive Anwendung und Zentrumskonzentration; kein Wechsel der Leitlinie zu Routineprotontherapie.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Fachgesellschaft (DEGRO), deutschsprachiger Raum; direkte Auswirkung auf Zertifizierungskriterien und Versorgungsvergütung im deutschen System.</w:t>
      </w:r>
    </w:p>
    <w:p>
      <w:r>
        <w:rPr>
          <w:color w:val="5A7D3A"/>
          <w:sz w:val="18"/>
        </w:rPr>
        <w:t>https://pubmed.ncbi.nlm.nih.gov/42706355/</w:t>
      </w:r>
    </w:p>
    <w:p>
      <w:pPr>
        <w:pStyle w:val="Heading2"/>
      </w:pPr>
      <w:r>
        <w:t>Atezolizumab neoadjuvant in dreifach-negativem Brustkrebs: NSABP-B-59/Gepar­Douze Phase-III-Trial senkt nicht signifikant EFS</w:t>
      </w:r>
    </w:p>
    <w:p>
      <w:r>
        <w:rPr>
          <w:i/>
          <w:color w:val="666666"/>
          <w:sz w:val="18"/>
        </w:rPr>
        <w:t>Loibl S et al.  ·  Nat Med  ·  01.09.2026  ·  PMID 42680950</w:t>
      </w:r>
    </w:p>
    <w:p>
      <w:r>
        <w:t>Randomisiert 1.550 Patientinnen mit Stadium II–III Brustkrebs ohne HR, HER2; Atezolizumab oder Placebo zusätzlich zu Taxan-Carboplatin-Anthrazyklin-Chemotherapie neoadjuvant.</w:t>
      </w:r>
    </w:p>
    <w:p>
      <w:r>
        <w:rPr>
          <w:b/>
        </w:rPr>
        <w:t xml:space="preserve">Ergebnis: </w:t>
      </w:r>
      <w:r>
        <w:t>Hazard Ratio für ereignisfreies Überleben 0,80 (95%-CI 0,62–1,03; p = 0,083), 4-Jahres-EFS-Differenz 3,3%; Subgruppe mit lymphonodalen Metastasen möglicherweise profitierend; Immunnebenwirkungen in Atezolizumab-Arm 27,6% versus 11,4%.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USA (GBG/NSABP-Netzwerk), europäische Zentren führend; keine Änderung deutschen Leitlinien zu erwarten.</w:t>
      </w:r>
    </w:p>
    <w:p>
      <w:r>
        <w:rPr>
          <w:color w:val="5A7D3A"/>
          <w:sz w:val="18"/>
        </w:rPr>
        <w:t>https://pubmed.ncbi.nlm.nih.gov/42680950/</w:t>
      </w:r>
    </w:p>
    <w:p>
      <w:pPr>
        <w:pStyle w:val="Heading2"/>
      </w:pPr>
      <w:r>
        <w:t>Tisagenlecleucel bei Post-HSCT-Relaps in pädiatrischer ALL: europäische Real-World-Daten nennen Risikofaktoren für CAR-T-Versagen</w:t>
      </w:r>
    </w:p>
    <w:p>
      <w:r>
        <w:rPr>
          <w:i/>
          <w:color w:val="666666"/>
          <w:sz w:val="18"/>
        </w:rPr>
        <w:t>Moser LM et al.  ·  Leukemia  ·  31.08.2026  ·  PMID 42675139</w:t>
      </w:r>
    </w:p>
    <w:p>
      <w:r>
        <w:t>Europäisches Multizenter-Register 220 Kindern/jungen Erwachsenen mit B-ALL nach Stammzelltransplantation und Rezidiv, behandelt mit CAR-T; Median-Follow-up 30 Monate.</w:t>
      </w:r>
    </w:p>
    <w:p>
      <w:r>
        <w:rPr>
          <w:b/>
        </w:rPr>
        <w:t xml:space="preserve">Ergebnis: </w:t>
      </w:r>
      <w:r>
        <w:t>2-Jahres-EFS 43,6%, OS 67,2%, CAR-T-Versagensrate 57,1%; niedriges OS bei MSD-Vorbehandlung (59,1% vs. Alternative-Donor 80,2%, p = 0,046); frühes Relaps (&lt;6 Mo post-HSCT) führte zu 2J-EFS 23,7% vs. 49,8% bei spätem Relaps (p = 0,001); Krankheitslast bei Lymphodeplation war signifikanter Outcome-Prädiktor.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Zentren aus Deutschland, Österreich, Italien, Skandinavien; identifiziert hochrisiko-Kandidaten für verbesserte Nachbetreuung in deutschem System.</w:t>
      </w:r>
    </w:p>
    <w:p>
      <w:r>
        <w:rPr>
          <w:color w:val="5A7D3A"/>
          <w:sz w:val="18"/>
        </w:rPr>
        <w:t>https://pubmed.ncbi.nlm.nih.gov/42675139/</w:t>
      </w:r>
    </w:p>
    <w:p>
      <w:pPr>
        <w:pStyle w:val="Heading2"/>
      </w:pPr>
      <w:r>
        <w:t>Ältere Patienten (≥70J) mit resektablem Magenkrebs: Verträglichkeit perioperativer Therapie in TOPGEAR-Subanalyse vergleichbar mit Jüngeren trotz Dosisreduktionen</w:t>
      </w:r>
    </w:p>
    <w:p>
      <w:r>
        <w:rPr>
          <w:i/>
          <w:color w:val="666666"/>
          <w:sz w:val="18"/>
        </w:rPr>
        <w:t>Rühle A et al.  ·  Eur J Cancer  ·  05.10.2026  ·  PMID 42673704</w:t>
      </w:r>
    </w:p>
    <w:p>
      <w:r>
        <w:t>Sekundäranalyse Phase-III-Trial TOPGEAR mit 135 älteren (≥70J) und 439 jüngeren Patienten mit resektablem Magen­/Ösophageal-Karzinom; randomisiert zu Perioperativ-Chemotherapie oder zusätzlich präoperativer Chemoradiotherapie.</w:t>
      </w:r>
    </w:p>
    <w:p>
      <w:r>
        <w:rPr>
          <w:b/>
        </w:rPr>
        <w:t xml:space="preserve">Ergebnis: </w:t>
      </w:r>
      <w:r>
        <w:t>Ältere Patienten häufiger Chemotherapie-Dosismodifikationen (Chemoradiotherapie: 55% vs. 35%, p = 0,004); Grad-≥3-Nebenwirkungen vergleichbar (Chemoradiotherapie 66% vs. 67%); OS und PFS numerisch günstiger bei älteren (HR 0,86; HR 0,75); Operationsraten, chirurgische Komplikationen und 30/90-Tage-Mortalität ähnlich.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Australisches/internationales Zentren-Netzwerk, aber Dosierungsschemen und ECOG-Kriterien Standard in Deutschland; liefert Evidenz für Machbarkeit im älteren Setting.</w:t>
      </w:r>
    </w:p>
    <w:p>
      <w:r>
        <w:rPr>
          <w:color w:val="5A7D3A"/>
          <w:sz w:val="18"/>
        </w:rPr>
        <w:t>https://pubmed.ncbi.nlm.nih.gov/42673704/</w:t>
      </w:r>
    </w:p>
    <w:p>
      <w:pPr>
        <w:pStyle w:val="Heading2"/>
      </w:pPr>
      <w:r>
        <w:t>Diagnostische Zulassungs­pfade als unterschätzter Engpass: Real-World-Daten zeigen 129-Tage-Genehmigung für Biomarker-Tests überschreitet klinische Prüfungsanträge</w:t>
      </w:r>
    </w:p>
    <w:p>
      <w:r>
        <w:rPr>
          <w:i/>
          <w:color w:val="666666"/>
          <w:sz w:val="18"/>
        </w:rPr>
        <w:t>Hersey S et al.  ·  Eur J Cancer  ·  05.10.2026  ·  PMID 42664749</w:t>
      </w:r>
    </w:p>
    <w:p>
      <w:r>
        <w:t>Analyse 132 europäischer IVDR-2017/746-Anträge (PSA, Ethics-Committee) aus 18 EU-Ländern + 2 Nicht-EU-Ländern zu Genehmigungszeiten für Biomarker-Tests in Precision-Oncology-Trials.</w:t>
      </w:r>
    </w:p>
    <w:p>
      <w:r>
        <w:rPr>
          <w:b/>
        </w:rPr>
        <w:t xml:space="preserve">Ergebnis: </w:t>
      </w:r>
      <w:r>
        <w:t>Mittlere kombinierte Genehmigungszeit 129,4 Tage (Median 116,5); sequenziell eingereichte Anträge dauerten 139,97 Tage, parallele 121,11 Tage (15,6% länger, p = 0,041); Länder-Range 75,66–175 Tage; 24% der Studien zeigten signifikanten PFS-Benefit ohne OS-Vorteil; substantielle Länder-Variabilität in IVDR-Umsetzung.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Europäischer Datensatz, 18 EU-Mitgliedstaaten; direktes Policy-Hindernis für deutsche Precision-Oncology-Trials.</w:t>
      </w:r>
    </w:p>
    <w:p>
      <w:r>
        <w:rPr>
          <w:color w:val="5A7D3A"/>
          <w:sz w:val="18"/>
        </w:rPr>
        <w:t>https://pubmed.ncbi.nlm.nih.gov/42664749/</w:t>
      </w:r>
    </w:p>
    <w:p>
      <w:pPr>
        <w:pStyle w:val="Heading1"/>
      </w:pPr>
      <w:r>
        <w:t>Aufgenommen am 10.09.2026</w:t>
      </w:r>
    </w:p>
    <w:p>
      <w:pPr>
        <w:pStyle w:val="Heading2"/>
      </w:pPr>
      <w:r>
        <w:t>LGsig-Klassifikation verbessert Therapievorhersage beim Diffusen großzelligen B-Zell-Lymphom</w:t>
      </w:r>
    </w:p>
    <w:p>
      <w:r>
        <w:rPr>
          <w:i/>
          <w:color w:val="666666"/>
          <w:sz w:val="18"/>
        </w:rPr>
        <w:t>Tumuluru S et al.  ·  J Clin Oncol  ·  09.09.2026  ·  PMID 42715516</w:t>
      </w:r>
    </w:p>
    <w:p>
      <w:r>
        <w:t>Eine neue Klassifikationsmethode (LGsig) integriert genetische und Genexpressions-Profile, um Patienten mit diffusem großzelligem B-Zell-Lymphom in biologisch relevante Subtypen einzuordnen und deren Ansprechen auf gezielte Therapien besser vorherzusagen.</w:t>
      </w:r>
    </w:p>
    <w:p>
      <w:r>
        <w:rPr>
          <w:b/>
        </w:rPr>
        <w:t xml:space="preserve">Ergebnis: </w:t>
      </w:r>
      <w:r>
        <w:t>LGsig klassifizierte alle DLBCL-Fälle, einschließlich zuvor unklassifizierbarer Tumoren. In der POLARIX-Studie zeigte sich ein signifikanter Überlebensvorteil für Patienten mit bestimmten LGsig-Subtypen unter Polatuzumab vedotin-R-CHP versus R-CHOP in sowohl genetisch klassifizierten als auch unklassifizierten Fällen.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Plattformübergreifend einsetzbare Genexpressions-Technik; Anwendbarkeit auf archivale Proben erleichtert klinische Integration in deutschen Tumorzentren.</w:t>
      </w:r>
    </w:p>
    <w:p>
      <w:r>
        <w:rPr>
          <w:color w:val="5A7D3A"/>
          <w:sz w:val="18"/>
        </w:rPr>
        <w:t>https://pubmed.ncbi.nlm.nih.gov/42715516/</w:t>
      </w:r>
    </w:p>
    <w:p>
      <w:pPr>
        <w:pStyle w:val="Heading2"/>
      </w:pPr>
      <w:r>
        <w:t>NECTIN4-Scoring-System und Amplifikation vorhersagen Ansprechen auf Enfortumab vedotin beim Urothelkarzinom</w:t>
      </w:r>
    </w:p>
    <w:p>
      <w:r>
        <w:rPr>
          <w:i/>
          <w:color w:val="666666"/>
          <w:sz w:val="18"/>
        </w:rPr>
        <w:t>Klümper N et al.  ·  Clin Cancer Res  ·  09.09.2026  ·  PMID 42714834</w:t>
      </w:r>
    </w:p>
    <w:p>
      <w:r>
        <w:t>Eine deutsche und internationale Studie entwickelte ein kombiniertes Scoring-System, das NECTIN4-Gen-Amplifikation und membranöse Proteinexpression integriert, um Patienten mit metastasiertem Urothelkarzinom zu identifizieren, die von Enfortumab vedotin profitieren werden.</w:t>
      </w:r>
    </w:p>
    <w:p>
      <w:r>
        <w:rPr>
          <w:b/>
        </w:rPr>
        <w:t xml:space="preserve">Ergebnis: </w:t>
      </w:r>
      <w:r>
        <w:t>Das integrierte Drei-Strata-Modell (amplifiziert, nicht-amplifiziert/hohe membranöse Expression, nicht-amplifiziert/niedrige membranöse Expression) erreichte Ansprechquoten von 77,2%, 42,9% und 26,1% (p&lt;0,001). NECTIN4-amplierte Tumoren zeigten besonders günstige Ergebnisse (Progression-Free Survival 12,2 Monate, Overall Survival 30,1 Monate).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Deutschlandweite Multizenterstudie mit 39 Zentren; direkt transferierbar auf Zertifizierungsanforderungen und Tumorboard-Entscheidungen.</w:t>
      </w:r>
    </w:p>
    <w:p>
      <w:r>
        <w:rPr>
          <w:color w:val="5A7D3A"/>
          <w:sz w:val="18"/>
        </w:rPr>
        <w:t>https://pubmed.ncbi.nlm.nih.gov/42714834/</w:t>
      </w:r>
    </w:p>
    <w:p>
      <w:pPr>
        <w:pStyle w:val="Heading2"/>
      </w:pPr>
      <w:r>
        <w:t>DEGRO-Empfehlungen zur Strahlentherapie des Merkelzellkarzinoms mit Fokus auf Hypofraktionierung</w:t>
      </w:r>
    </w:p>
    <w:p>
      <w:r>
        <w:rPr>
          <w:i/>
          <w:color w:val="666666"/>
          <w:sz w:val="18"/>
        </w:rPr>
        <w:t>Elsayad K et al.  ·  Strahlenther Onkol  ·  09.09.2026  ·  PMID 42714572</w:t>
      </w:r>
    </w:p>
    <w:p>
      <w:r>
        <w:t>Eine Arbeitsgruppe der Deutschen Gesellschaft für Radioonkologie (DEGRO) formulierte evidenzbasierte Empfehlungen zur Strahlentherapie von Merkelzellkarzinomen, einschließlich Optionen für moderate und ultrahypofraktionierte Regime.</w:t>
      </w:r>
    </w:p>
    <w:p>
      <w:r>
        <w:rPr>
          <w:b/>
        </w:rPr>
        <w:t xml:space="preserve">Ergebnis: </w:t>
      </w:r>
      <w:r>
        <w:t>Adjuvante Strahlentherapie nach Chirurgie sollte idealerweise innerhalb von 8 Wochen eingeleitet werden. Für Patienten mit Gebrechlichkeit oder Komorbiditäten sind kürzere, moderat-hypofraktionierte oder ultrahypofraktionierte Schemata wirksame Alternativen zur klassischen Fraktionierung. Die Kombination von Immuntherapie mit Strahlung wird als Schwerpunkt zukünftiger Forschung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Fachgesellschafts-Leitlinie; direkte Implementierbarkeit in Zertifizierungsprozesse und klinische Routine.</w:t>
      </w:r>
    </w:p>
    <w:p>
      <w:r>
        <w:rPr>
          <w:color w:val="5A7D3A"/>
          <w:sz w:val="18"/>
        </w:rPr>
        <w:t>https://pubmed.ncbi.nlm.nih.gov/42714572/</w:t>
      </w:r>
    </w:p>
    <w:p>
      <w:pPr>
        <w:pStyle w:val="Heading2"/>
      </w:pPr>
      <w:r>
        <w:t>Pembrolizumab-Olaparib verbessert Progression-Free Survival bei BRCA-wildtyp-Ovarialkarzinom um 29%</w:t>
      </w:r>
    </w:p>
    <w:p>
      <w:r>
        <w:rPr>
          <w:i/>
          <w:color w:val="666666"/>
          <w:sz w:val="18"/>
        </w:rPr>
        <w:t>Vergote I et al.  ·  Lancet Oncol  ·  07.09.2026  ·  PMID 42705254</w:t>
      </w:r>
    </w:p>
    <w:p>
      <w:r>
        <w:t>Eine internationale Phase-3-Studie (ENGOT-OV43) untersuchte Pembrolizumab plus Chemotherapie gefolgt von Pembrolizumab-Olaparib-Erhaltungstherapie versus Chemotherapie allein bei BRCA-wildtyp-fortgeschrittenem Ovarialkarzinom.</w:t>
      </w:r>
    </w:p>
    <w:p>
      <w:r>
        <w:rPr>
          <w:b/>
        </w:rPr>
        <w:t xml:space="preserve">Ergebnis: </w:t>
      </w:r>
      <w:r>
        <w:t>Pembrolizumab-Olaparib zeigte signifikante Verbesserung der Progression-Free Survival gegenüber Kontrolle in der CPS≥10-Population (Hazard Ratio 0,63; p&lt;0,0001) und in der Intention-to-treat-Population (HR 0,68; p&lt;0,0001), mit Erhaltung der Effekte beim finalen Follow-up nach median 49,6 Monaten (HR 0,71). Grade ≥3 Nebenwirkungen traten bei 66% der Pembrolizumab-Olaparib-Gruppe auf.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globale Studie mit vergleichbarer Patientenselektion; Registerzulassung und AMNOG-Bewertung folgen regulärem Prozess in Deutschland.</w:t>
      </w:r>
    </w:p>
    <w:p>
      <w:r>
        <w:rPr>
          <w:color w:val="5A7D3A"/>
          <w:sz w:val="18"/>
        </w:rPr>
        <w:t>https://pubmed.ncbi.nlm.nih.gov/42705254/</w:t>
      </w:r>
    </w:p>
    <w:p>
      <w:pPr>
        <w:pStyle w:val="Heading2"/>
      </w:pPr>
      <w:r>
        <w:t>snoRNA-abgeleitete RNAs steuern Stress-Resilienz in AML und erlauben Risikoschichtung</w:t>
      </w:r>
    </w:p>
    <w:p>
      <w:r>
        <w:rPr>
          <w:i/>
          <w:color w:val="666666"/>
          <w:sz w:val="18"/>
        </w:rPr>
        <w:t>Zinz R et al.  ·  Leukemia  ·  04.09.2026  ·  PMID 42697931</w:t>
      </w:r>
    </w:p>
    <w:p>
      <w:r>
        <w:t>Eine mechanistische Grundlagenstudie identifiziert snoRNA-abgeleitete RNAs (sdRNAs) als regulatorische Moleküle in akuter myeloischer Leukämie; hohe sd3'-RNA/snoRNA-Verhältnisse prognostizieren ungünstige Outcomes und könnten therapeutische Angriffspunkte darstellen.</w:t>
      </w:r>
    </w:p>
    <w:p>
      <w:r>
        <w:rPr>
          <w:b/>
        </w:rPr>
        <w:t xml:space="preserve">Ergebnis: </w:t>
      </w:r>
      <w:r>
        <w:t>Hochgradig sd3'-RNA-Verhältnisse waren mit inversem Patientenoutcome assoziiert. Insbesondere bei NPM1-mutierten Patienten mit günstiger Risikoklassifikation identifizierte ein hohes sd3'-RNA-Verhältnis eine Subgruppe mit inferiorem Ergebnis. Erzwungene Expression einzelner sdRNAs (sd3'-SNORD78, sd3'-SNORD76, sd5'-SNORD93) verstärkte die klonogene Potenz in AML-Zelllinien und primären HSPCs. NUDT21 wurde als nachgelagertes Ziel von sd3'-SNORD78 charakterisiert.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Multizenterstudie (Heidelberg, Kiel, Dresden, Frankfurt); Mechanismus öffnet Wege zu klinischen Interventionen in der AML-Stratifikation.</w:t>
      </w:r>
    </w:p>
    <w:p>
      <w:r>
        <w:rPr>
          <w:color w:val="5A7D3A"/>
          <w:sz w:val="18"/>
        </w:rPr>
        <w:t>https://pubmed.ncbi.nlm.nih.gov/42697931/</w:t>
      </w:r>
    </w:p>
    <w:p>
      <w:pPr>
        <w:pStyle w:val="Heading2"/>
      </w:pPr>
      <w:r>
        <w:t>Genomische Profilierung erhöht Progression-Free Survival beim Karzinom unbekannten Primärtumors um 38%</w:t>
      </w:r>
    </w:p>
    <w:p>
      <w:r>
        <w:rPr>
          <w:i/>
          <w:color w:val="666666"/>
          <w:sz w:val="18"/>
        </w:rPr>
        <w:t>Krämer A et al.  ·  J Clin Oncol  ·  03.09.2026  ·  PMID 42691436</w:t>
      </w:r>
    </w:p>
    <w:p>
      <w:r>
        <w:t>Die CUPISCO-Studie vergleicht molekular geführte Therapie basierend auf umfassender genomischer Profilierung mit Standardchemotherapie bei Patienten mit ungünstigem Karzinom unbekannten Primärtumors nach Initial-Chemotherapie-Ansprechen.</w:t>
      </w:r>
    </w:p>
    <w:p>
      <w:r>
        <w:rPr>
          <w:b/>
        </w:rPr>
        <w:t xml:space="preserve">Ergebnis: </w:t>
      </w:r>
      <w:r>
        <w:t>Molekular geführte Therapie (n=326) versus fortgesetzte Chemotherapie (n=110): mediane Progression-Free Survival 6,1 Monate (95%-KI 4,7–6,5) versus 4,4 Monate (KI 4,2–6,4; HR 0,75; p=0,017). Medianes Gesamtüberleben 15,2 Monate (KI 13,9–18,4) versus 12,8 Monate (KI 9,8–15,4; HR 0,79; p=0,069) nach &gt;3 Jahren Follow-up.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Deutschlandweite Zentren beteiligt; Molekular-Tumorboard-Ansatz etabliert in deutschen Krebszentren.</w:t>
      </w:r>
    </w:p>
    <w:p>
      <w:r>
        <w:rPr>
          <w:color w:val="5A7D3A"/>
          <w:sz w:val="18"/>
        </w:rPr>
        <w:t>https://pubmed.ncbi.nlm.nih.gov/42691436/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Onkologie</dc:title>
  <dc:subject/>
  <dc:creator>Monitor Versorgungsforschung</dc:creator>
  <cp:keywords/>
  <dc:description>generated by python-docx</dc:description>
  <cp:lastModifiedBy/>
  <cp:revision>1</cp:revision>
  <dcterms:created xsi:type="dcterms:W3CDTF">2026-09-19T06:00:00Z</dcterms:created>
  <dcterms:modified xsi:type="dcterms:W3CDTF">2026-09-19T06:00:00Z</dcterms:modified>
  <cp:category/>
</cp:coreProperties>
</file>