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Onkologie</w:t>
      </w:r>
    </w:p>
    <w:p>
      <w:r>
        <w:rPr>
          <w:i/>
          <w:color w:val="666666"/>
          <w:sz w:val="18"/>
        </w:rPr>
        <w:t>Stand: 13.10.2026  |  212 Studien  |  onkologie.m-vf.de</w:t>
      </w:r>
    </w:p>
    <w:p>
      <w:pPr>
        <w:pStyle w:val="Heading1"/>
      </w:pPr>
      <w:r>
        <w:t>Aufgenommen am 13.10.2026</w:t>
      </w:r>
    </w:p>
    <w:p>
      <w:pPr>
        <w:pStyle w:val="Heading2"/>
      </w:pPr>
      <w:r>
        <w:t>Bluttest-Risikomodell für Lungenkrebs verbessert Früherkennung gegenüber etabliertem Standard</w:t>
      </w:r>
    </w:p>
    <w:p>
      <w:r>
        <w:rPr>
          <w:i/>
          <w:color w:val="666666"/>
          <w:sz w:val="18"/>
        </w:rPr>
        <w:t>Skov-Jeppesen SM et al.  ·  J Clin Oncol  ·  12.10.2026  ·  PMID 42863103</w:t>
      </w:r>
    </w:p>
    <w:p>
      <w:r>
        <w:t>Dänische prospektive Kohortenstudie entwickelt und validiert ein Bluttest-gestütztes Risikomodell (CPH-Lung) zur Vorhersage des 6-Jahres-Lungenkrebsrisikos bei Rauchern vor bildgebender Screening.</w:t>
      </w:r>
    </w:p>
    <w:p>
      <w:r>
        <w:rPr>
          <w:b/>
        </w:rPr>
        <w:t xml:space="preserve">Ergebnis: </w:t>
      </w:r>
      <w:r>
        <w:t>CPH-Lung erreichte im Validierungskollektiv eine AUC von 0,783 versus 0,720 für PLCOm2012 (p=0,0059). Bei gleicher Spezifität wie aktuelle Screeningkriterien (77,7%) zeigte CPH-Lung höhere Sensitivität bei Frauen (57,6% vs. 39,2%, p&lt;0,0001) und Männern (61,4% vs. 54,7%, p=0,004). Patienten, die ausschließlich durch CPH-Lung erkannt wurden, waren im Mittel jünger (68,2 vs. 76,5 Jahre, p&lt;0,0001).</w:t>
      </w:r>
    </w:p>
    <w:p>
      <w:r>
        <w:rPr>
          <w:b/>
          <w:sz w:val="19"/>
        </w:rPr>
        <w:t xml:space="preserve">Übertragbarkeit: </w:t>
      </w:r>
      <w:r>
        <w:rPr>
          <w:sz w:val="19"/>
        </w:rPr>
        <w:t>Nordische Gesundheitssysteme, Daten aus prospektiven bevölkerungsbasierten Kohorten, vergleichbar strukturiertes Screening.</w:t>
      </w:r>
    </w:p>
    <w:p>
      <w:r>
        <w:rPr>
          <w:color w:val="5A7D3A"/>
          <w:sz w:val="18"/>
        </w:rPr>
        <w:t>https://pubmed.ncbi.nlm.nih.gov/42863103/</w:t>
      </w:r>
    </w:p>
    <w:p>
      <w:pPr>
        <w:pStyle w:val="Heading2"/>
      </w:pPr>
      <w:r>
        <w:t>Konsolidative Thoraxbestrahlung nach Chemoimmuntherapie verbessert Überleben bei extensivem Kleinzellungkrebs</w:t>
      </w:r>
    </w:p>
    <w:p>
      <w:r>
        <w:rPr>
          <w:i/>
          <w:color w:val="666666"/>
          <w:sz w:val="18"/>
        </w:rPr>
        <w:t>Bai B et al.  ·  Strahlenther Onkol  ·  12.10.2026  ·  PMID 42862283</w:t>
      </w:r>
    </w:p>
    <w:p>
      <w:r>
        <w:t>Retrospektive chinesische Kohortenstudie vergleicht erste Chemoimmuntherapie allein (CT-IT) versus CT-IT plus konsolidative Thoraxbestrahlung (cTRT) bei 199 Patienten mit extensivem kleinzelligem Lungenkarzinom (ES-SCLC).</w:t>
      </w:r>
    </w:p>
    <w:p>
      <w:r>
        <w:rPr>
          <w:b/>
        </w:rPr>
        <w:t xml:space="preserve">Ergebnis: </w:t>
      </w:r>
      <w:r>
        <w:t>Mediane progressionsfreie Überlebenszeit (PFS) war signifikant länger mit CT-IT + cTRT versus CT-IT allein (p&lt;0,001). Mediales Gesamtüberleben (OS) war ebenfalls signifikant verlängert mit cTRT (p&lt;0,001). Im multivariaten Modell war cTRT unabhängig mit besserer PFS assoziiert (p&lt;0,001). Sicherheitsprofil war vergleichbar; Grad-3-4-Toxizitäten traten in beiden Gruppen ähnlich häufig auf. Grad-1-2-Dermatitis und Gastrointestinalitoxizität waren häufiger in der cTRT-Gruppe.</w:t>
      </w:r>
    </w:p>
    <w:p>
      <w:r>
        <w:rPr>
          <w:b/>
          <w:sz w:val="19"/>
        </w:rPr>
        <w:t xml:space="preserve">Übertragbarkeit: </w:t>
      </w:r>
      <w:r>
        <w:rPr>
          <w:sz w:val="19"/>
        </w:rPr>
        <w:t>China - Behandlungsalgorithmus übertragbar, aber Validierung in europäischen Real-World-Daten erforderlich vor Routineimplementierung.</w:t>
      </w:r>
    </w:p>
    <w:p>
      <w:r>
        <w:rPr>
          <w:color w:val="5A7D3A"/>
          <w:sz w:val="18"/>
        </w:rPr>
        <w:t>https://pubmed.ncbi.nlm.nih.gov/42862283/</w:t>
      </w:r>
    </w:p>
    <w:p>
      <w:pPr>
        <w:pStyle w:val="Heading2"/>
      </w:pPr>
      <w:r>
        <w:t>Kombinationstherapie mit RNA-Polymerase-I- und CDK-Inhibitor zeigt Synergie bei akuter myeloischer Leukämie</w:t>
      </w:r>
    </w:p>
    <w:p>
      <w:r>
        <w:rPr>
          <w:i/>
          <w:color w:val="666666"/>
          <w:sz w:val="18"/>
        </w:rPr>
        <w:t>Hein N et al.  ·  Leukemia  ·  08.10.2026  ·  PMID 42850350</w:t>
      </w:r>
    </w:p>
    <w:p>
      <w:r>
        <w:t>Australische präklinische und translatorische Studie identifiziert durch Hochdurchsatz-Screening Dinaciclib (CDK-Inhibitor) als Kombinationspartner zu CX-5461 (Ribosomen-Biosynthese-Inhibitor) in genetisch diversen AML-Modellen.</w:t>
      </w:r>
    </w:p>
    <w:p>
      <w:r>
        <w:rPr>
          <w:b/>
        </w:rPr>
        <w:t xml:space="preserve">Ergebnis: </w:t>
      </w:r>
      <w:r>
        <w:t>Dinaciclib wirkt synergistisch mit CX-5461 in mehreren humanen AML-Zelllinien und verbessert das Überleben in murinen AML-Modellen signifikant. Synergismus beruhte teilweise auf kombinatorischer Aktivierung des nucleolar surveillance pathway. Dinaciclib löste schnelle Apoptose aus, während CX-5461 primär Zellzyklus-Arrest verursachte; zusammen führte dies zu effizienter Tumorclearance und verzögertem Resistenzauftreten. In primären AML-Proben war Koloniebildung reduziert.</w:t>
      </w:r>
    </w:p>
    <w:p>
      <w:r>
        <w:rPr>
          <w:b/>
          <w:sz w:val="19"/>
        </w:rPr>
        <w:t xml:space="preserve">Übertragbarkeit: </w:t>
      </w:r>
      <w:r>
        <w:rPr>
          <w:sz w:val="19"/>
        </w:rPr>
        <w:t>Grundlagenevidenz, klinische Translation noch ausstehend; Mechanismus-Identifizierung liefert Rational für Phase-1-Studien.</w:t>
      </w:r>
    </w:p>
    <w:p>
      <w:r>
        <w:rPr>
          <w:color w:val="5A7D3A"/>
          <w:sz w:val="18"/>
        </w:rPr>
        <w:t>https://pubmed.ncbi.nlm.nih.gov/42850350/</w:t>
      </w:r>
    </w:p>
    <w:p>
      <w:pPr>
        <w:pStyle w:val="Heading2"/>
      </w:pPr>
      <w:r>
        <w:t>Koloskopie-Screening reduziert Darmkrebssterblichkeit nicht in nordischen Populationen</w:t>
      </w:r>
    </w:p>
    <w:p>
      <w:r>
        <w:rPr>
          <w:i/>
          <w:color w:val="666666"/>
          <w:sz w:val="18"/>
        </w:rPr>
        <w:t>Ladabaum U et al.  ·  Lancet  ·  10.10.2026  ·  PMID 42849474</w:t>
      </w:r>
    </w:p>
    <w:p>
      <w:r>
        <w:t>Große randomisierte skandinavische Studie verglich bei über 400.000 Personen Koloskopie-Screening vs. übliche Versorgung bei asymptomatischen Erwachsenen (55–64 Jahre) zur Reduktion von Darmkrebs-Sterblichkeit und Inzidenz.</w:t>
      </w:r>
    </w:p>
    <w:p>
      <w:r>
        <w:rPr>
          <w:b/>
        </w:rPr>
        <w:t xml:space="preserve">Ergebnis: </w:t>
      </w:r>
      <w:r>
        <w:t>Koloskopie reduzierte Darmkrebs-Inzidenz, führte aber nicht zu signifikanter Reduktion der Darmkrebssterblichkeit im Vergleich zu Kontrollgruppe. Die Ergebnisse werfen Fragen zu Effektivität des systematischen Screening bei mittlerem Risiko auf, insbesondere über den beobachteten Follow-up-Zeitraum.</w:t>
      </w:r>
    </w:p>
    <w:p>
      <w:r>
        <w:rPr>
          <w:b/>
          <w:sz w:val="19"/>
        </w:rPr>
        <w:t xml:space="preserve">Übertragbarkeit: </w:t>
      </w:r>
      <w:r>
        <w:rPr>
          <w:sz w:val="19"/>
        </w:rPr>
        <w:t>Deutschland und europäische Länder mit ähnlich strukturierten Gesundheitssystemen, NordICC-Daten direkt relevant für deutsches Screening-Design.</w:t>
      </w:r>
    </w:p>
    <w:p>
      <w:r>
        <w:rPr>
          <w:color w:val="5A7D3A"/>
          <w:sz w:val="18"/>
        </w:rPr>
        <w:t>https://pubmed.ncbi.nlm.nih.gov/42849474/</w:t>
      </w:r>
    </w:p>
    <w:p>
      <w:pPr>
        <w:pStyle w:val="Heading2"/>
      </w:pPr>
      <w:r>
        <w:t>Deep-Learning-Modell mit Genexpression sagt Lymphknoten-Makrometastasen in frühem Brustkrebs sicher voraus</w:t>
      </w:r>
    </w:p>
    <w:p>
      <w:r>
        <w:rPr>
          <w:i/>
          <w:color w:val="666666"/>
          <w:sz w:val="18"/>
        </w:rPr>
        <w:t>Zhang D et al.  ·  Clin Cancer Res  ·  08.10.2026  ·  PMID 42848433</w:t>
      </w:r>
    </w:p>
    <w:p>
      <w:r>
        <w:t>Schwedische prospektive Validierungsstudie entwickelt Deep-Learning-Modelle mit Genexpression und präoperativen klinischen Daten zur Vorhersage von Sentinellymphknoten-Makrometastasen (SLNM) bei 6.836 Patientinnen mit klinisch befallfreien Achselachsen.</w:t>
      </w:r>
    </w:p>
    <w:p>
      <w:r>
        <w:rPr>
          <w:b/>
        </w:rPr>
        <w:t xml:space="preserve">Ergebnis: </w:t>
      </w:r>
      <w:r>
        <w:t>Der Transformer-Ansatz zeigte überlegene Gene-Expression-Modellierung. Im unabhängigen Testset verbesserte das kombinierte Modell (präoperative Klinik + Genexpression) die SLNM-Vorhersage gegenüber nur klinischen Daten (ROC-AUC 0,693 vs. 0,596, p&lt;0,001) und identifizierte Niedrigrisiko-Patienten, die eine SLNB vermeiden könnten (Reduktionsrate 27,2% bei 92,1% Sensitivität). Bei triple-negativem Brustkrebs erreichte das Modell eine AUC von 0,734. Biopsie- und Operationspräparate zeigten substanzielle Übereinstimmung (n=116).</w:t>
      </w:r>
    </w:p>
    <w:p>
      <w:r>
        <w:rPr>
          <w:b/>
          <w:sz w:val="19"/>
        </w:rPr>
        <w:t xml:space="preserve">Übertragbarkeit: </w:t>
      </w:r>
      <w:r>
        <w:rPr>
          <w:sz w:val="19"/>
        </w:rPr>
        <w:t>Schweden, europäisches Registersystem, Datentypen sind international verfügbar.</w:t>
      </w:r>
    </w:p>
    <w:p>
      <w:r>
        <w:rPr>
          <w:color w:val="5A7D3A"/>
          <w:sz w:val="18"/>
        </w:rPr>
        <w:t>https://pubmed.ncbi.nlm.nih.gov/42848433/</w:t>
      </w:r>
    </w:p>
    <w:p>
      <w:pPr>
        <w:pStyle w:val="Heading2"/>
      </w:pPr>
      <w:r>
        <w:t>Krebserkrankungen mit unbekanntem Primärtumor werden seltener, Überleben verbessert sich langsam</w:t>
      </w:r>
    </w:p>
    <w:p>
      <w:r>
        <w:rPr>
          <w:i/>
          <w:color w:val="666666"/>
          <w:sz w:val="18"/>
        </w:rPr>
        <w:t>Zaun G et al.  ·  Dtsch Arztebl Int  ·  25.12.2026  ·  PMID 42845015</w:t>
      </w:r>
    </w:p>
    <w:p>
      <w:r>
        <w:t>Deutsche Bevölkerungsstudie aus dem Krebsregister Nordrhein-Westfalen analysiert Inzidenz- und Überlebenstrends bei Krebserkrankungen unbekannten Primärtumors (CUP) über 17 Jahre anhand von 21.085 validierten Fällen.</w:t>
      </w:r>
    </w:p>
    <w:p>
      <w:r>
        <w:rPr>
          <w:b/>
        </w:rPr>
        <w:t xml:space="preserve">Ergebnis: </w:t>
      </w:r>
      <w:r>
        <w:t>Altersstandardisierte Inzidenz fiel markant von 6,5 pro 100.000 Personenjahre (2007) auf 2,2 pro 100.000 Personenjahre (2023) (durchschnittliche jährliche Änderung -5,45%, 95%-KI [-6,49; -4,40]). Fünf-Jahres-Überleben stieg von 14,7% auf 21,8%. Plattenepithelkarzinome zeigten höchstes Überleben (42,8%), Adenokarzinome und undifferenzierte Karzinome niedrigstes (14–15%). Älteren Patienten hatten niedrigeres Überleben.</w:t>
      </w:r>
    </w:p>
    <w:p>
      <w:r>
        <w:rPr>
          <w:b/>
          <w:sz w:val="19"/>
        </w:rPr>
        <w:t xml:space="preserve">Übertragbarkeit: </w:t>
      </w:r>
      <w:r>
        <w:rPr>
          <w:sz w:val="19"/>
        </w:rPr>
        <w:t>Deutsche Daten aus bevölkerungsbasiertem Krebsregister, direkt auf deutsches Gesundheitswesen übertragbar.</w:t>
      </w:r>
    </w:p>
    <w:p>
      <w:r>
        <w:rPr>
          <w:color w:val="5A7D3A"/>
          <w:sz w:val="18"/>
        </w:rPr>
        <w:t>https://pubmed.ncbi.nlm.nih.gov/42845015/</w:t>
      </w:r>
    </w:p>
    <w:p>
      <w:pPr>
        <w:pStyle w:val="Heading1"/>
      </w:pPr>
      <w:r>
        <w:t>Aufgenommen am 12.10.2026</w:t>
      </w:r>
    </w:p>
    <w:p>
      <w:pPr>
        <w:pStyle w:val="Heading2"/>
      </w:pPr>
      <w:r>
        <w:t>Regelmäßige Nachsorge verbessert Overall Survival bei Nasopharynxkarzinom</w:t>
      </w:r>
    </w:p>
    <w:p>
      <w:r>
        <w:rPr>
          <w:i/>
          <w:color w:val="666666"/>
          <w:sz w:val="18"/>
        </w:rPr>
        <w:t>Wu CF et al.  ·  Radiother Oncol  ·  10.10.2026  ·  PMID 42858857</w:t>
      </w:r>
    </w:p>
    <w:p>
      <w:r>
        <w:t>Retrospektive Analyse von 8.798 Patienten mit nicht-metastasiertem Nasopharynxkarzinom zur Frage, ob intensivierte posttherapeutische Überwachung frühere Rezidiverkennung und besseres Überleben ermöglicht.</w:t>
      </w:r>
    </w:p>
    <w:p>
      <w:r>
        <w:rPr>
          <w:b/>
        </w:rPr>
        <w:t xml:space="preserve">Ergebnis: </w:t>
      </w:r>
      <w:r>
        <w:t>Mit ≥4 Arztbesuchen im 1. Jahr (regelmäßige Surveillance, n=4.078) gegenüber &lt;4 Besuchen (irregulär, n=4.720): medianes rezidivfreies Überleben 26,1 vs. 27,0 Monate, verbessertes Gesamtüberleben (HR 0,86; 95% KI 0,74–0,99; p=0,032). Regelmäßige Fernbildgebung senkte Mortalität (HR 0,69; 95% KI 0,57–0,82; p&lt;0,001); lokale und regionale Bildgebung nicht signifikant.</w:t>
      </w:r>
    </w:p>
    <w:p>
      <w:r>
        <w:rPr>
          <w:b/>
          <w:sz w:val="19"/>
        </w:rPr>
        <w:t xml:space="preserve">Übertragbarkeit: </w:t>
      </w:r>
      <w:r>
        <w:rPr>
          <w:sz w:val="19"/>
        </w:rPr>
        <w:t>China – hochvolumiges Zentrum; Methodik auf deutsche Strukturen übertragbar</w:t>
      </w:r>
    </w:p>
    <w:p>
      <w:r>
        <w:rPr>
          <w:color w:val="5A7D3A"/>
          <w:sz w:val="18"/>
        </w:rPr>
        <w:t>https://pubmed.ncbi.nlm.nih.gov/42858857/</w:t>
      </w:r>
    </w:p>
    <w:p>
      <w:pPr>
        <w:pStyle w:val="Heading2"/>
      </w:pPr>
      <w:r>
        <w:t>Machine-Learning-Methoden für fehlende Toxizitätsdaten bei Kopf-Hals-Krebspatienten</w:t>
      </w:r>
    </w:p>
    <w:p>
      <w:r>
        <w:rPr>
          <w:i/>
          <w:color w:val="666666"/>
          <w:sz w:val="18"/>
        </w:rPr>
        <w:t>van der Hoek L et al.  ·  Radiother Oncol  ·  10.10.2026  ·  PMID 42858855</w:t>
      </w:r>
    </w:p>
    <w:p>
      <w:r>
        <w:t>Niederländische Studie zur Bewertung von neun Imputationsmethoden (von einfach bis Deep Learning) für fehlende Werte in longitudinalen Toxizitätsdaten von 1.442 Patienten mit Kopf-Hals-Krebs unter Radiotherapie.</w:t>
      </w:r>
    </w:p>
    <w:p>
      <w:r>
        <w:rPr>
          <w:b/>
        </w:rPr>
        <w:t xml:space="preserve">Ergebnis: </w:t>
      </w:r>
      <w:r>
        <w:t>Einfache Imputationsmethoden schnitten deutlich schlechter ab als fortgeschrittene; Qualität verschlechterte sich, wenn Patienten &lt;50% der Messzeitpunkte hatten; Transformer-Modelle waren robuster gegen Rauschen; downstream Modelle zeigten vernachlässigbare Unterschiede außer bei einfachen Methoden. Praktische Empfehlung: einfache Imputationen vermeiden und Inklusions- sowie Verfügbarkeitskriterien bewusst wählen.</w:t>
      </w:r>
    </w:p>
    <w:p>
      <w:r>
        <w:rPr>
          <w:b/>
          <w:sz w:val="19"/>
        </w:rPr>
        <w:t xml:space="preserve">Übertragbarkeit: </w:t>
      </w:r>
      <w:r>
        <w:rPr>
          <w:sz w:val="19"/>
        </w:rPr>
        <w:t>Niederlande, deutschsprachige Methodik, europäische Dokumentationspflichten übertragbar</w:t>
      </w:r>
    </w:p>
    <w:p>
      <w:r>
        <w:rPr>
          <w:color w:val="5A7D3A"/>
          <w:sz w:val="18"/>
        </w:rPr>
        <w:t>https://pubmed.ncbi.nlm.nih.gov/42858855/</w:t>
      </w:r>
    </w:p>
    <w:p>
      <w:pPr>
        <w:pStyle w:val="Heading2"/>
      </w:pPr>
      <w:r>
        <w:t>Klinisch bedeutsame Schwellenwerte für Lebensqualitätsfragebogen bei Prostatakrebspatienten</w:t>
      </w:r>
    </w:p>
    <w:p>
      <w:r>
        <w:rPr>
          <w:i/>
          <w:color w:val="666666"/>
          <w:sz w:val="18"/>
        </w:rPr>
        <w:t>Vorbach SM et al.  ·  Radiother Oncol  ·  10.10.2026  ·  PMID 42858854</w:t>
      </w:r>
    </w:p>
    <w:p>
      <w:r>
        <w:t>Europäische Multicenterstudie zur Etablierung von Klinisch Bedeutsamen Schwellenwerten (Thresholds for Clinical Importance, TCI) für den EORTC QLQ-PR25, ein Lebensqualitätsinstrument bei Prostatakrebspatienten.</w:t>
      </w:r>
    </w:p>
    <w:p>
      <w:r>
        <w:rPr>
          <w:b/>
        </w:rPr>
        <w:t xml:space="preserve">Ergebnis: </w:t>
      </w:r>
      <w:r>
        <w:t>Für fünf der sechs Skalen ließen sich akzeptable bis exzellente ROC-Werte (AUC 0,74–0,90) mit Sensitivität 0,62–0,88 und Spezifität 0,48–0,98 etablieren; für die Sexualfunktion (AUC 0,48) gelang dies nicht. Die TCIs ermöglichen erstmals die klinische Interpretation einzelner Patientenergebnisse für Symptom-Screening und Entscheidungsfindung.</w:t>
      </w:r>
    </w:p>
    <w:p>
      <w:r>
        <w:rPr>
          <w:b/>
          <w:sz w:val="19"/>
        </w:rPr>
        <w:t xml:space="preserve">Übertragbarkeit: </w:t>
      </w:r>
      <w:r>
        <w:rPr>
          <w:sz w:val="19"/>
        </w:rPr>
        <w:t>Österreich, Niederlande, Spanien, Belgien, Deutschland – vergleichbare Gesundheitssysteme, europäische Fachdaten</w:t>
      </w:r>
    </w:p>
    <w:p>
      <w:r>
        <w:rPr>
          <w:color w:val="5A7D3A"/>
          <w:sz w:val="18"/>
        </w:rPr>
        <w:t>https://pubmed.ncbi.nlm.nih.gov/42858854/</w:t>
      </w:r>
    </w:p>
    <w:p>
      <w:pPr>
        <w:pStyle w:val="Heading2"/>
      </w:pPr>
      <w:r>
        <w:t>FRα-gezieltes Antikörper-Wirkstoff-Konjugat Sofetabart zeigt Aktivität bei fortgeschrittenem Ovarialkarzinom</w:t>
      </w:r>
    </w:p>
    <w:p>
      <w:r>
        <w:rPr>
          <w:i/>
          <w:color w:val="666666"/>
          <w:sz w:val="18"/>
        </w:rPr>
        <w:t>Ray-Coquard I et al.  ·  Ann Oncol  ·  08.10.2026  ·  PMID 42849725</w:t>
      </w:r>
    </w:p>
    <w:p>
      <w:r>
        <w:t>Multizentrische First-in-Human Phase-1-Studie mit 105 Patienten (überwiegend platinresistent) zu Sofetabart mipitecan (Sofe-M), einem neuen FRα-Antibody-Drug-Conjugate ohne Keratopathie-Risiko.</w:t>
      </w:r>
    </w:p>
    <w:p>
      <w:r>
        <w:rPr>
          <w:b/>
        </w:rPr>
        <w:t xml:space="preserve">Ergebnis: </w:t>
      </w:r>
      <w:r>
        <w:t>Objektive Ansprechrate 50,5% (95% KI 40,5–60,4), bei 3 mg/kg 58,8%; bei FRα &lt;75% 44,4%, bei FRα ≥75% 56,5%, nach vorherigem Mirvetuximab 57,9%; medianes progressionsfreies Überleben 8,1 Monate (95% KI 6,4–8,5). Häufigste Nebenwirkungen: Übelkeit (64,8%), Fatigue (56,2%), Anämie (47,6%). Keine Keratopathien oder Grad-≥3-Neuropathie; 35,3–56,4% Grad-≥3-Nebenwirkungen je Dosis; Behandlungsabbruch 10,5%.</w:t>
      </w:r>
    </w:p>
    <w:p>
      <w:r>
        <w:rPr>
          <w:b/>
          <w:sz w:val="19"/>
        </w:rPr>
        <w:t xml:space="preserve">Übertragbarkeit: </w:t>
      </w:r>
      <w:r>
        <w:rPr>
          <w:sz w:val="19"/>
        </w:rPr>
        <w:t>USA-Studie mit europäischen Zentren (Frankreich, Spanien, Italien); Übertragbarkeit auf AMNOG-Zulassungsprozess prüfbar</w:t>
      </w:r>
    </w:p>
    <w:p>
      <w:r>
        <w:rPr>
          <w:color w:val="5A7D3A"/>
          <w:sz w:val="18"/>
        </w:rPr>
        <w:t>https://pubmed.ncbi.nlm.nih.gov/42849725/</w:t>
      </w:r>
    </w:p>
    <w:p>
      <w:pPr>
        <w:pStyle w:val="Heading2"/>
      </w:pPr>
      <w:r>
        <w:t>Transfer-RNA-Dosierung kontrolliert Lineageplastizität und Therapieresistenz bei Prostatakarzinom</w:t>
      </w:r>
    </w:p>
    <w:p>
      <w:r>
        <w:rPr>
          <w:i/>
          <w:color w:val="666666"/>
          <w:sz w:val="18"/>
        </w:rPr>
        <w:t>Kim YS et al.  ·  Nature  ·  07.10.2026  ·  PMID 42844465</w:t>
      </w:r>
    </w:p>
    <w:p>
      <w:r>
        <w:t>Grundlagenarbeit zur Identifikation von tRNA1Arg(UCU) als Regulator der Lineageplastizität und Therapieresistenz im Prostatakarzinom mit Weg in die Klinik über Linearität und Androgenrezeptor-Sensitivität.</w:t>
      </w:r>
    </w:p>
    <w:p>
      <w:r>
        <w:rPr>
          <w:b/>
        </w:rPr>
        <w:t xml:space="preserve">Ergebnis: </w:t>
      </w:r>
      <w:r>
        <w:t>tRNA1Arg(UCU) ist herunterreguliert in neuroendokrinem Prostatakarzinom und assoziiert mit beschleunigter Metastasierung und schlechterer Prognose; Regulatoren TARDBP und ZSCAN29 kontrollieren tRNA-Expression; tRNA steuert Translationsprogramm mit SWI/SNF-Chromatin-Umbauerproteinen, die Lineage-Treue wahren; experimentelle Manipulation von tRNA1Arg(UCU) restauriert Androgenrezeptor-Sensitivität.</w:t>
      </w:r>
    </w:p>
    <w:p>
      <w:r>
        <w:rPr>
          <w:b/>
          <w:sz w:val="19"/>
        </w:rPr>
        <w:t xml:space="preserve">Übertragbarkeit: </w:t>
      </w:r>
      <w:r>
        <w:rPr>
          <w:sz w:val="19"/>
        </w:rPr>
        <w:t>USA-Grundlagenarbeit mit translationalem Ansatz zur Überwindung Androgenrezeptor-Inhibitor-Resistenz</w:t>
      </w:r>
    </w:p>
    <w:p>
      <w:r>
        <w:rPr>
          <w:color w:val="5A7D3A"/>
          <w:sz w:val="18"/>
        </w:rPr>
        <w:t>https://pubmed.ncbi.nlm.nih.gov/42844465/</w:t>
      </w:r>
    </w:p>
    <w:p>
      <w:pPr>
        <w:pStyle w:val="Heading2"/>
      </w:pPr>
      <w:r>
        <w:t>Globale Ungleichheit in Verfügbarkeit und Kostenübernahme von Nierenzellkarzinom-Therapien</w:t>
      </w:r>
    </w:p>
    <w:p>
      <w:r>
        <w:rPr>
          <w:i/>
          <w:color w:val="666666"/>
          <w:sz w:val="18"/>
        </w:rPr>
        <w:t>Urun Y et al.  ·  Oncologist  ·  06.10.2026  ·  PMID 42836687</w:t>
      </w:r>
    </w:p>
    <w:p>
      <w:r>
        <w:t>Internationale Querschnittsstudie von 144 Klinikern aus 58 Ländern zur Verfügbarkeit und Erstattung von 20 innovativen systemischen Therapien für Nierenzellkarzinom.</w:t>
      </w:r>
    </w:p>
    <w:p>
      <w:r>
        <w:rPr>
          <w:b/>
        </w:rPr>
        <w:t xml:space="preserve">Ergebnis: </w:t>
      </w:r>
      <w:r>
        <w:t>Nur 36% der Länder hatten mindestens 15 der 20 Therapien verfügbar; vollständige Erstattung für ≥15 Therapien in nur 6 Ländern (10%), für 1–9 Therapien in 13 Ländern (23%), keine Erstattung in 18 Ländern (31%). Höheres Nationaleinkommen korrelierte signifikant mit besserer Verfügbarkeit (Kruskal-Wallis p&lt;0,0001); Armenien, Griechenland und Israel zeigten höchste GDP-bereinigte Drug-Availability-Indizes.</w:t>
      </w:r>
    </w:p>
    <w:p>
      <w:r>
        <w:rPr>
          <w:b/>
          <w:sz w:val="19"/>
        </w:rPr>
        <w:t xml:space="preserve">Übertragbarkeit: </w:t>
      </w:r>
      <w:r>
        <w:rPr>
          <w:sz w:val="19"/>
        </w:rPr>
        <w:t>58 Länder weltweit; Transfer: Deutschland als mittleres Einkommsland mit hoher Verfügbarkeit</w:t>
      </w:r>
    </w:p>
    <w:p>
      <w:r>
        <w:rPr>
          <w:color w:val="5A7D3A"/>
          <w:sz w:val="18"/>
        </w:rPr>
        <w:t>https://pubmed.ncbi.nlm.nih.gov/42836687/</w:t>
      </w:r>
    </w:p>
    <w:p>
      <w:pPr>
        <w:pStyle w:val="Heading2"/>
      </w:pPr>
      <w:r>
        <w:t>Spätfolgen innovativer Kinderkrebs-Therapien: Übersicht für Langzeit-Follow-up</w:t>
      </w:r>
    </w:p>
    <w:p>
      <w:r>
        <w:rPr>
          <w:i/>
          <w:color w:val="666666"/>
          <w:sz w:val="18"/>
        </w:rPr>
        <w:t>Berkman AM et al.  ·  J Natl Cancer Inst  ·  06.10.2026  ·  PMID 42836651</w:t>
      </w:r>
    </w:p>
    <w:p>
      <w:r>
        <w:t>Narrativ-systematische Übersichtsarbeit zur erwarteten Langzeittoxizität neuer Wirkstoffe (Antikörper, ADC, Immune Checkpoint Inhibitor, CAR-T, targeted therapies) bei Kindern mit Krebs, um Langzeitüberwachung zu informieren.</w:t>
      </w:r>
    </w:p>
    <w:p>
      <w:r>
        <w:rPr>
          <w:b/>
        </w:rPr>
        <w:t xml:space="preserve">Ergebnis: </w:t>
      </w:r>
      <w:r>
        <w:t>Detaillierte Analyse von kardiovaskulären, neurologischen, endokrinen, gastrointestinalen und immunologischen Spätfolgen innovativer Therapien basierend auf Akuttoxizitätsprofilen, limitierten pädiatrischen Verlaufsdaten und emerging adult data. Kernaussage: Systematische Charakterisierung der Langzeittoxizität ist dringend erforderlich; etablierte Survivorship-Kohorten müssen erweitert und neue Nachweismethoden für bisher unerkannte Folgen entwickelt werden.</w:t>
      </w:r>
    </w:p>
    <w:p>
      <w:r>
        <w:rPr>
          <w:b/>
          <w:sz w:val="19"/>
        </w:rPr>
        <w:t xml:space="preserve">Übertragbarkeit: </w:t>
      </w:r>
      <w:r>
        <w:rPr>
          <w:sz w:val="19"/>
        </w:rPr>
        <w:t>USA-Fachstandard, methodisch auf deutsche Leitlinien (DKG) übertragbar</w:t>
      </w:r>
    </w:p>
    <w:p>
      <w:r>
        <w:rPr>
          <w:color w:val="5A7D3A"/>
          <w:sz w:val="18"/>
        </w:rPr>
        <w:t>https://pubmed.ncbi.nlm.nih.gov/42836651/</w:t>
      </w:r>
    </w:p>
    <w:p>
      <w:pPr>
        <w:pStyle w:val="Heading1"/>
      </w:pPr>
      <w:r>
        <w:t>Aufgenommen am 11.10.2026</w:t>
      </w:r>
    </w:p>
    <w:p>
      <w:pPr>
        <w:pStyle w:val="Heading2"/>
      </w:pPr>
      <w:r>
        <w:t>MRD-Negativität bei 0,01 % korreliert mit Overall Survival in akuter myeloischer Leukämie</w:t>
      </w:r>
    </w:p>
    <w:p>
      <w:r>
        <w:rPr>
          <w:i/>
          <w:color w:val="666666"/>
          <w:sz w:val="18"/>
        </w:rPr>
        <w:t>Paiva B et al.  ·  Leukemia  ·  08.10.2026  ·  PMID 42850349</w:t>
      </w:r>
    </w:p>
    <w:p>
      <w:r>
        <w:t>Die PETHEMA-Studie untersuchte an 2.623 AML-Patienten, ob Measurable Residual Disease (MRD) mittels Durchflusszytometrie ein prognostischer Marker für das Gesamtüberleben nach intensiver Therapie ist.</w:t>
      </w:r>
    </w:p>
    <w:p>
      <w:r>
        <w:rPr>
          <w:b/>
        </w:rPr>
        <w:t xml:space="preserve">Ergebnis: </w:t>
      </w:r>
      <w:r>
        <w:t>MRD-Negativität bei der 0,01%-Schwelle zeigte unabhängigen prognostischen Wert (globale Odds Ratio 1,23; 95%-KI 1,02–1,40; p &lt; 0,05). MRD-Nachweis bei ≥0,01–&lt;0,1 % assoziiert mit schlechterem Überleben. 68 % der CR-Patienten hatten MRD-Nachweis. Signifikanz variierte nach genetischem Risiko und Erhaltungstherapie.</w:t>
      </w:r>
    </w:p>
    <w:p>
      <w:r>
        <w:rPr>
          <w:b/>
          <w:sz w:val="19"/>
        </w:rPr>
        <w:t xml:space="preserve">Übertragbarkeit: </w:t>
      </w:r>
      <w:r>
        <w:rPr>
          <w:sz w:val="19"/>
        </w:rPr>
        <w:t>Spanische und portugiesische Kohorten, europäische Versorgungsstruktur, direkt auf deutsches Krebsregister-Setting übertragbar.</w:t>
      </w:r>
    </w:p>
    <w:p>
      <w:r>
        <w:rPr>
          <w:color w:val="5A7D3A"/>
          <w:sz w:val="18"/>
        </w:rPr>
        <w:t>https://pubmed.ncbi.nlm.nih.gov/42850349/</w:t>
      </w:r>
    </w:p>
    <w:p>
      <w:pPr>
        <w:pStyle w:val="Heading2"/>
      </w:pPr>
      <w:r>
        <w:t>Koloskopie-Screening reduziert kolorektales Krebssterben um 31 Prozent</w:t>
      </w:r>
    </w:p>
    <w:p>
      <w:r>
        <w:rPr>
          <w:i/>
          <w:color w:val="666666"/>
          <w:sz w:val="18"/>
        </w:rPr>
        <w:t>Brenner H et al.  ·  Lancet  ·  10.10.2026  ·  PMID 42849472</w:t>
      </w:r>
    </w:p>
    <w:p>
      <w:r>
        <w:t>Die NordICC-Studie untersuchte, ob gelegentliche Screening-Koloskopie bei Erwachsenen ab 55/60 Jahren die Sterblichkeit durch kolorektales Karzinom senkt.</w:t>
      </w:r>
    </w:p>
    <w:p>
      <w:r>
        <w:rPr>
          <w:b/>
        </w:rPr>
        <w:t xml:space="preserve">Ergebnis: </w:t>
      </w:r>
      <w:r>
        <w:t>Die Koloskopie reduzierte die krebsspezifische Mortalität um 31 % über 10 Jahre (relatives Risiko 0,69; 95%-KI 0,55–0,87). Die Zahl der Todesfälle pro 1.000 Screenings betrug 0,28. Incidenz sank um 21 %. Nebenwirkungen: schwerwiegende Blutungen &lt;0,1 %, Perforationen 0,7 pro 1.000.</w:t>
      </w:r>
    </w:p>
    <w:p>
      <w:r>
        <w:rPr>
          <w:b/>
          <w:sz w:val="19"/>
        </w:rPr>
        <w:t xml:space="preserve">Übertragbarkeit: </w:t>
      </w:r>
      <w:r>
        <w:rPr>
          <w:sz w:val="19"/>
        </w:rPr>
        <w:t>Europäischer Verbund (Skandinavien, Polen, Deutschland), publische Gesundheitssysteme mit ähnlicher Finanzierung wie Deutschland.</w:t>
      </w:r>
    </w:p>
    <w:p>
      <w:r>
        <w:rPr>
          <w:color w:val="5A7D3A"/>
          <w:sz w:val="18"/>
        </w:rPr>
        <w:t>https://pubmed.ncbi.nlm.nih.gov/42849472/</w:t>
      </w:r>
    </w:p>
    <w:p>
      <w:pPr>
        <w:pStyle w:val="Heading2"/>
      </w:pPr>
      <w:r>
        <w:t>BRCA2-Alteration vorhersagend für 12-Monate-Benefit unter PARP-Inhibitor Talazoparib</w:t>
      </w:r>
    </w:p>
    <w:p>
      <w:r>
        <w:rPr>
          <w:i/>
          <w:color w:val="666666"/>
          <w:sz w:val="18"/>
        </w:rPr>
        <w:t>Castro E et al.  ·  Eur J Cancer  ·  29.09.2026  ·  PMID 42849324</w:t>
      </w:r>
    </w:p>
    <w:p>
      <w:r>
        <w:t>Retrospektive Genomanalyse aus der Phase-2-Studie TALAPRO-1 zu Talazoparib-Monotherapie in 104 Patienten mit metastasiertem kastrationsresistentem Prostatakarzinom und HRR-Genalterationen.</w:t>
      </w:r>
    </w:p>
    <w:p>
      <w:r>
        <w:rPr>
          <w:b/>
        </w:rPr>
        <w:t xml:space="preserve">Ergebnis: </w:t>
      </w:r>
      <w:r>
        <w:t>94 % der Patienten mit radiographischem PFS ≥12 Monaten hatten BRCA2-Alterationen, vs. 22 % mit PFS &lt;2 Monaten (p &lt;0,00001). HRR-Gen-Reversionen (n=7) und PARP1-Varianten (n=5) zeigten emergente Resistenzmechanismen; beide prädiktiv für Therapieversagen nach initialem Ansprechen.</w:t>
      </w:r>
    </w:p>
    <w:p>
      <w:r>
        <w:rPr>
          <w:b/>
          <w:sz w:val="19"/>
        </w:rPr>
        <w:t xml:space="preserve">Übertragbarkeit: </w:t>
      </w:r>
      <w:r>
        <w:rPr>
          <w:sz w:val="19"/>
        </w:rPr>
        <w:t>US-amerikanische Studie, aber Genomik und BRCA2-Mutationen tumorunabhängig; Biomarker-Strategie auf deutsche Praxen übertragbar.</w:t>
      </w:r>
    </w:p>
    <w:p>
      <w:r>
        <w:rPr>
          <w:color w:val="5A7D3A"/>
          <w:sz w:val="18"/>
        </w:rPr>
        <w:t>https://pubmed.ncbi.nlm.nih.gov/42849324/</w:t>
      </w:r>
    </w:p>
    <w:p>
      <w:pPr>
        <w:pStyle w:val="Heading2"/>
      </w:pPr>
      <w:r>
        <w:t>Disitamab vedotin plus Tislelizumab: 73 % komplette Response bei nicht-resektablem high-grade Harnblasenkarzinom</w:t>
      </w:r>
    </w:p>
    <w:p>
      <w:r>
        <w:rPr>
          <w:i/>
          <w:color w:val="666666"/>
          <w:sz w:val="18"/>
        </w:rPr>
        <w:t>Qie Y et al.  ·  JAMA Oncol  ·  08.10.2026  ·  PMID 42848391</w:t>
      </w:r>
    </w:p>
    <w:p>
      <w:r>
        <w:t>Phase-2-Studie mit 28 Patienten zu resektionsunfähigem ERBB2-positiven high-risk nicht-Muskel-invasivem Blasenkarzinom unter Kombinationstherapie mit dem Antikörper-Wirkstoff-Konjugat Disitamab vedotin und dem PD-1-Inhibitor Tislelizumab.</w:t>
      </w:r>
    </w:p>
    <w:p>
      <w:r>
        <w:rPr>
          <w:b/>
        </w:rPr>
        <w:t xml:space="preserve">Ergebnis: </w:t>
      </w:r>
      <w:r>
        <w:t>Komplette Response der high-risk-Erkrankung in 19/26 Patienten (73,1 %; 95%-KI 54,8–91,3 %), über Zielrate von 70 % hinaus. 24-Monate-Ansprechen-Dauerhaftigkeit 83,5 %; kein Übergang zu invasivem Karzinom oder Metastasierung. Therapiebedingte Nebenwirkungen bei 89 %, davon nur 14 % Grad 3–4; 2 Patienten Abbruch.</w:t>
      </w:r>
    </w:p>
    <w:p>
      <w:r>
        <w:rPr>
          <w:b/>
          <w:sz w:val="19"/>
        </w:rPr>
        <w:t xml:space="preserve">Übertragbarkeit: </w:t>
      </w:r>
      <w:r>
        <w:rPr>
          <w:sz w:val="19"/>
        </w:rPr>
        <w:t>Chinesische Kliniken, aber ERBB2-Screening und -Klassifizierung international standardisiert; Ergebnis relevant für deutsche Zentren mit Blasen-Expertise.</w:t>
      </w:r>
    </w:p>
    <w:p>
      <w:r>
        <w:rPr>
          <w:color w:val="5A7D3A"/>
          <w:sz w:val="18"/>
        </w:rPr>
        <w:t>https://pubmed.ncbi.nlm.nih.gov/42848391/</w:t>
      </w:r>
    </w:p>
    <w:p>
      <w:pPr>
        <w:pStyle w:val="Heading2"/>
      </w:pPr>
      <w:r>
        <w:t>Universelle Keimbahntest-Screening: 18,4 % Pathogene Varianten in früh-onset Karzinomen, altersbasierte Limits übersehen 72 % aller Träger</w:t>
      </w:r>
    </w:p>
    <w:p>
      <w:r>
        <w:rPr>
          <w:i/>
          <w:color w:val="666666"/>
          <w:sz w:val="18"/>
        </w:rPr>
        <w:t>Stadler ZK et al.  ·  Cancer Discov  ·  08.10.2026  ·  PMID 42844684</w:t>
      </w:r>
    </w:p>
    <w:p>
      <w:r>
        <w:t>Keimbahnsequenzierung von 39.184 Patienten mit soliden Malignomen über 32 Tumortypen hinweg; Vergleich der Pathogenen-Variantenprävalenz nach Alter bei Diagnose.</w:t>
      </w:r>
    </w:p>
    <w:p>
      <w:r>
        <w:rPr>
          <w:b/>
        </w:rPr>
        <w:t xml:space="preserve">Ergebnis: </w:t>
      </w:r>
      <w:r>
        <w:t>Pathogene Varianten in 18,4 % der früh-onset, 15,6 % der durchschnittlich-onset und 12,3 % der spät-onset Fälle (p &lt;0,001). High-/Moderate-Penetranz-Gene: 12,4 % vs. 8,9 % vs. 5,1 %. Altersgrenze 50 Jahre übersieht 4.601 Träger (72 % aller detektierten Varianten). Universelles Screening empfohlen.</w:t>
      </w:r>
    </w:p>
    <w:p>
      <w:r>
        <w:rPr>
          <w:b/>
          <w:sz w:val="19"/>
        </w:rPr>
        <w:t xml:space="preserve">Übertragbarkeit: </w:t>
      </w:r>
      <w:r>
        <w:rPr>
          <w:sz w:val="19"/>
        </w:rPr>
        <w:t>USA-Studie, aber Genetik und Mutationsspektrum tumorunabhängig; Screening-Empfehlung relevant für deutsche AMNOG- und Leitlinien-Adaptationen.</w:t>
      </w:r>
    </w:p>
    <w:p>
      <w:r>
        <w:rPr>
          <w:color w:val="5A7D3A"/>
          <w:sz w:val="18"/>
        </w:rPr>
        <w:t>https://pubmed.ncbi.nlm.nih.gov/42844684/</w:t>
      </w:r>
    </w:p>
    <w:p>
      <w:pPr>
        <w:pStyle w:val="Heading2"/>
      </w:pPr>
      <w:r>
        <w:t>Venetoclax-basierte Therapie versus HMA-Monotherapie: OS-Vorteil 11,4 vs. 8,2 Monate bei unfittem neudiagnostiziertem AML</w:t>
      </w:r>
    </w:p>
    <w:p>
      <w:r>
        <w:rPr>
          <w:i/>
          <w:color w:val="666666"/>
          <w:sz w:val="18"/>
        </w:rPr>
        <w:t>Aspas Requena G et al.  ·  Leukemia  ·  06.10.2026  ·  PMID 42839073</w:t>
      </w:r>
    </w:p>
    <w:p>
      <w:r>
        <w:t>Real-World-Vergleich von 929 Patienten unter Venetoclax-Kombination mit 1.681 unter Hypomethylierungsmitteln allein aus der spanischen PETHEMA-Registry; mediane Nachverfolgung im Routinebetrieb.</w:t>
      </w:r>
    </w:p>
    <w:p>
      <w:r>
        <w:rPr>
          <w:b/>
        </w:rPr>
        <w:t xml:space="preserve">Ergebnis: </w:t>
      </w:r>
      <w:r>
        <w:t>Medianes Gesamtüberleben unter Venetoclax 11,4 Monate vs. 8,2 Monate (HR 0,66; 95%-KI 0,60–0,73; p &lt;0,001); konsistent mit VIALE-A-Trial (HR 0,66). Composite Complete Remission 64,4 % vs. 20,0 %; 30-Tage-Mortalität 4,8 % vs. 7,5 %. Benefit bei IDH2, NPM1, FLT3-ITD; minimal bei TP53-mutierten und MDS-evolved AML.</w:t>
      </w:r>
    </w:p>
    <w:p>
      <w:r>
        <w:rPr>
          <w:b/>
          <w:sz w:val="19"/>
        </w:rPr>
        <w:t xml:space="preserve">Übertragbarkeit: </w:t>
      </w:r>
      <w:r>
        <w:rPr>
          <w:sz w:val="19"/>
        </w:rPr>
        <w:t>Spanische und südamerikanische öffentliche Kliniken, europäische Dokumentationspflichten; direkter Vergleich zu deutschen AML-Zentren.</w:t>
      </w:r>
    </w:p>
    <w:p>
      <w:r>
        <w:rPr>
          <w:color w:val="5A7D3A"/>
          <w:sz w:val="18"/>
        </w:rPr>
        <w:t>https://pubmed.ncbi.nlm.nih.gov/42839073/</w:t>
      </w:r>
    </w:p>
    <w:p>
      <w:pPr>
        <w:pStyle w:val="Heading1"/>
      </w:pPr>
      <w:r>
        <w:t>Aufgenommen am 10.10.2026</w:t>
      </w:r>
    </w:p>
    <w:p>
      <w:pPr>
        <w:pStyle w:val="Heading2"/>
      </w:pPr>
      <w:r>
        <w:t>Digital Breast Tomosynthesis senkt Intervallkrebsrate um etwa 24 Prozent</w:t>
      </w:r>
    </w:p>
    <w:p>
      <w:r>
        <w:rPr>
          <w:i/>
          <w:color w:val="666666"/>
          <w:sz w:val="18"/>
        </w:rPr>
        <w:t>Weigel S et al.  ·  Lancet Oncol  ·  09.10.2026  ·  PMID 42854706</w:t>
      </w:r>
    </w:p>
    <w:p>
      <w:r>
        <w:t>Randomisierte Studie verglich Digital Breast Tomosynthesis plus synthetisierte Mammographie versus digitale Mammographie im Screening bei 99.558 Frauen (50-70 Jahre) in Deutschland mit 24 Monaten Nachverfolgung.</w:t>
      </w:r>
    </w:p>
    <w:p>
      <w:r>
        <w:rPr>
          <w:b/>
        </w:rPr>
        <w:t xml:space="preserve">Ergebnis: </w:t>
      </w:r>
      <w:r>
        <w:t>Invasive Intervallkrebsrate 14,2 pro 10.000 (DBT-Gruppe) versus 18,6 pro 10.000 (digitale Mammographie); OR 0,76 (95% KI 0,55-1,06; p=0,11). Bei 12 Monaten signifikant: 4,5 versus 6,3 pro 10.000 (OR 0,71; p&lt;0,05). Etwa ein Viertel der Intervallkrebse könnte vermieden werden.</w:t>
      </w:r>
    </w:p>
    <w:p>
      <w:r>
        <w:rPr>
          <w:b/>
          <w:sz w:val="19"/>
        </w:rPr>
        <w:t xml:space="preserve">Übertragbarkeit: </w:t>
      </w:r>
      <w:r>
        <w:rPr>
          <w:sz w:val="19"/>
        </w:rPr>
        <w:t>Deutsche Multicenterstudie, deutsche Gesundheitsdaten direkt übertragbar</w:t>
      </w:r>
    </w:p>
    <w:p>
      <w:r>
        <w:rPr>
          <w:color w:val="5A7D3A"/>
          <w:sz w:val="18"/>
        </w:rPr>
        <w:t>https://pubmed.ncbi.nlm.nih.gov/42854706/</w:t>
      </w:r>
    </w:p>
    <w:p>
      <w:pPr>
        <w:pStyle w:val="Heading2"/>
      </w:pPr>
      <w:r>
        <w:t>Toripalimab mit Chemotherapie bei B3-Thymom und Thymuskarziom: Progression-freies Überleben 19,3 Monate</w:t>
      </w:r>
    </w:p>
    <w:p>
      <w:r>
        <w:rPr>
          <w:i/>
          <w:color w:val="666666"/>
          <w:sz w:val="18"/>
        </w:rPr>
        <w:t>Zhu K et al.  ·  ESMO Open  ·  08.10.2026  ·  PMID 42854640</w:t>
      </w:r>
    </w:p>
    <w:p>
      <w:r>
        <w:t>Phase-II-Studie (24 Patienten mit nicht resezierbarem B3-Thymom oder Thymuskarziom) mit Paclitaxel, Carboplatin plus Toripalimab (PD-L1-Inhibitor) in bis zu 6 Zyklen, dann Toripalimab-Erhaltung bis Progression.</w:t>
      </w:r>
    </w:p>
    <w:p>
      <w:r>
        <w:rPr>
          <w:b/>
        </w:rPr>
        <w:t xml:space="preserve">Ergebnis: </w:t>
      </w:r>
      <w:r>
        <w:t>Medianes Progression-freies Überleben 19,3 Monate (95% KI 12,8-25,8). Objektive Ansprechrate 37,5% (KI 18,8-59,4%), komplette Krankheitskontrolle 100%. Grad 3-4 behandlungsbedingte Nebenwirkungen bei 50,0%; Grad ≥3 immunbedingte unerwünschte Ereignisse bei 4,2%. Höhere PD-L1-Expression und spezifische Tumor-Mikroumgebungsmuster assoziiert mit besserem Outcome.</w:t>
      </w:r>
    </w:p>
    <w:p>
      <w:r>
        <w:rPr>
          <w:b/>
          <w:sz w:val="19"/>
        </w:rPr>
        <w:t xml:space="preserve">Übertragbarkeit: </w:t>
      </w:r>
      <w:r>
        <w:rPr>
          <w:sz w:val="19"/>
        </w:rPr>
        <w:t>China; Phase-II-Daten erfordern randomisierte Bestätigung vor deutschem Einsatz</w:t>
      </w:r>
    </w:p>
    <w:p>
      <w:r>
        <w:rPr>
          <w:color w:val="5A7D3A"/>
          <w:sz w:val="18"/>
        </w:rPr>
        <w:t>https://pubmed.ncbi.nlm.nih.gov/42854640/</w:t>
      </w:r>
    </w:p>
    <w:p>
      <w:pPr>
        <w:pStyle w:val="Heading2"/>
      </w:pPr>
      <w:r>
        <w:t>Früherkennung von Bauchspeicheldrüsenkrebs – gleiche Überlebenschancen trotz fortgeschrittener Erkrankung</w:t>
      </w:r>
    </w:p>
    <w:p>
      <w:r>
        <w:rPr>
          <w:i/>
          <w:color w:val="666666"/>
          <w:sz w:val="18"/>
        </w:rPr>
        <w:t>Ruze R et al.  ·  J Natl Cancer Inst  ·  09.10.2026  ·  PMID 42853071</w:t>
      </w:r>
    </w:p>
    <w:p>
      <w:r>
        <w:t>Systematische Übersichtsarbeit und Metaanalyse von 48 Studien (1.659.432 Patienten, davon 695.936 ohne Überschneidung) verglich früh auftretenden Pankreaskrebs (EOPC) mit altersgruppenüblichem Krebs (AOPC).</w:t>
      </w:r>
    </w:p>
    <w:p>
      <w:r>
        <w:rPr>
          <w:b/>
        </w:rPr>
        <w:t xml:space="preserve">Ergebnis: </w:t>
      </w:r>
      <w:r>
        <w:t>EOPC-Patienten: niedrigere Diabetesrate (OR 0,39; 95% KI 0,21-0,72), fortgeschrittenere Erkrankung (Stadium IV: OR 1,18; KI 1,02-1,36), höhere Chemotherapienutzung (OR 2,04; KI 1,69-2,45; p&lt;0,001), aber vergleichbares Gesamtüberleben (HR 1,03; KI 0,86-1,23; p=0,76). Geringe Evidenzsicherheit für alle Outcomes.</w:t>
      </w:r>
    </w:p>
    <w:p>
      <w:r>
        <w:rPr>
          <w:b/>
          <w:sz w:val="19"/>
        </w:rPr>
        <w:t xml:space="preserve">Übertragbarkeit: </w:t>
      </w:r>
      <w:r>
        <w:rPr>
          <w:sz w:val="19"/>
        </w:rPr>
        <w:t>Internationale Metaanalyse; zeigt Ansatz für gleichberechtigten Zugang zu intensiver Therapie bei frühem Alter</w:t>
      </w:r>
    </w:p>
    <w:p>
      <w:r>
        <w:rPr>
          <w:color w:val="5A7D3A"/>
          <w:sz w:val="18"/>
        </w:rPr>
        <w:t>https://pubmed.ncbi.nlm.nih.gov/42853071/</w:t>
      </w:r>
    </w:p>
    <w:p>
      <w:pPr>
        <w:pStyle w:val="Heading2"/>
      </w:pPr>
      <w:r>
        <w:t>HER2-positive Brustkrebs: Trastuzumab Deruxtecan verschiebt Behandlungsparadigmen in frühere Linien</w:t>
      </w:r>
    </w:p>
    <w:p>
      <w:r>
        <w:rPr>
          <w:i/>
          <w:color w:val="666666"/>
          <w:sz w:val="18"/>
        </w:rPr>
        <w:t>Tarantino P et al.  ·  Nat Rev Clin Oncol  ·  08.10.2026  ·  PMID 42850399</w:t>
      </w:r>
    </w:p>
    <w:p>
      <w:r>
        <w:t>Narrative Übersichtsarbeit zur Therapieevolution bei HER2-positivem Brustkrebs, einschließlich Neoadjuvanz, Adjuvanz und metastasierter Erkrankung mit Fokus auf Sequenzierung und Risikorisiko-Stratifizierung.</w:t>
      </w:r>
    </w:p>
    <w:p>
      <w:r>
        <w:rPr>
          <w:b/>
        </w:rPr>
        <w:t xml:space="preserve">Ergebnis: </w:t>
      </w:r>
      <w:r>
        <w:t>Trastuzumab Deruxtecan als Antibody-Drug-Conjugate verbessert Outcomes und wird zunehmend in frühere Behandlungslinien verschoben. Zentrale Herausforderung: Identifikation optimaler Sequenzierung, Retreatment-Strategien und Patienten für Therapieintensivierung. Tissue-, Plasma- und bildgebungsbasierte Biomarker beginnend, vielversprechendes klinisches Implementierungspotenzial für Risikoadaptation und De-Eskalation.</w:t>
      </w:r>
    </w:p>
    <w:p>
      <w:r>
        <w:rPr>
          <w:b/>
          <w:sz w:val="19"/>
        </w:rPr>
        <w:t xml:space="preserve">Übertragbarkeit: </w:t>
      </w:r>
      <w:r>
        <w:rPr>
          <w:sz w:val="19"/>
        </w:rPr>
        <w:t>Internationale Expertenübersicht; medizinische Evidenzbasis für deutsches Gesundheitssystem übertragbar</w:t>
      </w:r>
    </w:p>
    <w:p>
      <w:r>
        <w:rPr>
          <w:color w:val="5A7D3A"/>
          <w:sz w:val="18"/>
        </w:rPr>
        <w:t>https://pubmed.ncbi.nlm.nih.gov/42850399/</w:t>
      </w:r>
    </w:p>
    <w:p>
      <w:pPr>
        <w:pStyle w:val="Heading2"/>
      </w:pPr>
      <w:r>
        <w:t>Mehr Chemotherapiezyklen in Radiochemotherapie verlängern Gesamtüberleben ohne mehr Toxizität</w:t>
      </w:r>
    </w:p>
    <w:p>
      <w:r>
        <w:rPr>
          <w:i/>
          <w:color w:val="666666"/>
          <w:sz w:val="18"/>
        </w:rPr>
        <w:t>Simbirova A et al.  ·  Strahlenther Onkol  ·  08.10.2026  ·  PMID 42850392</w:t>
      </w:r>
    </w:p>
    <w:p>
      <w:r>
        <w:t>Retrospektive Analyse von 90 Patienten mit lokal fortgeschrittenem NSCLC (Stadium IIB-IIIC) unter definitiver Radiochemotherapie (56-66 Gy mit wöchentlichem Carboplatin/Paclitaxel), 50 mit nachfolgender Durvalumab-Konsolidierung.</w:t>
      </w:r>
    </w:p>
    <w:p>
      <w:r>
        <w:rPr>
          <w:b/>
        </w:rPr>
        <w:t xml:space="preserve">Ergebnis: </w:t>
      </w:r>
      <w:r>
        <w:t>Patienten mit 5-7 Chemotherapiezyklen: signifikant längeres OS als 1-4 Zyklen (p=0,048); Hazard Ratio 0,75 pro zusätzlichem Zyklus (p=0,017). Keine signifikante Steigerung früher oder später Grad-≥2-Toxizität. Frühe Grad-≥2-Anämie (27,8%) assoziiert mit schlechterer Prognose (p=0,006).</w:t>
      </w:r>
    </w:p>
    <w:p>
      <w:r>
        <w:rPr>
          <w:b/>
          <w:sz w:val="19"/>
        </w:rPr>
        <w:t xml:space="preserve">Übertragbarkeit: </w:t>
      </w:r>
      <w:r>
        <w:rPr>
          <w:sz w:val="19"/>
        </w:rPr>
        <w:t>Deutsche Universitätsklinik Dresden, vergleichbare Behandlungsstandards</w:t>
      </w:r>
    </w:p>
    <w:p>
      <w:r>
        <w:rPr>
          <w:color w:val="5A7D3A"/>
          <w:sz w:val="18"/>
        </w:rPr>
        <w:t>https://pubmed.ncbi.nlm.nih.gov/42850392/</w:t>
      </w:r>
    </w:p>
    <w:p>
      <w:pPr>
        <w:pStyle w:val="Heading1"/>
      </w:pPr>
      <w:r>
        <w:t>Aufgenommen am 09.10.2026</w:t>
      </w:r>
    </w:p>
    <w:p>
      <w:pPr>
        <w:pStyle w:val="Heading2"/>
      </w:pPr>
      <w:r>
        <w:t>Sozioökonomischer Status und Kognition nach Kinderhirntumor: schwedische Kohortenstudie</w:t>
      </w:r>
    </w:p>
    <w:p>
      <w:r>
        <w:rPr>
          <w:i/>
          <w:color w:val="666666"/>
          <w:sz w:val="18"/>
        </w:rPr>
        <w:t>Beamish J et al.  ·  Neuro Oncol  ·  08.10.2026  ·  PMID 42848686</w:t>
      </w:r>
    </w:p>
    <w:p>
      <w:r>
        <w:t>Bevölkerungsbasierte Registry-Studie mit 461 schwedischen Kindern (Diagnose 2008-2023) zu Zusammenhang zwischen Sozioökonomischem Status (Elternbildung, Einkommen, Beruf) und neurokognitiven Ergebnissen bis 5 Jahre post-diagnose.</w:t>
      </w:r>
    </w:p>
    <w:p>
      <w:r>
        <w:rPr>
          <w:b/>
        </w:rPr>
        <w:t xml:space="preserve">Ergebnis: </w:t>
      </w:r>
      <w:r>
        <w:t>Höherer SES assoziiert mit besseren z-Scores bei Verarbeitungsgeschwindigkeit (+0,23), Arbeitsgedächtnis (+0,25), nonverbalem Reasoning (+0,29) und Gesamtkognition (+0,42). Längere Zeit seit Diagnose mit Rückgang Verarbeitungsgeschwindigkeit und verbalem Reasoning. Keine Interaktion zwischen SES und Abnahmeraten, was auf reduzierte kognitive Reserve statt erhöhte Treatment-Toxizität hinweist.</w:t>
      </w:r>
    </w:p>
    <w:p>
      <w:r>
        <w:rPr>
          <w:b/>
          <w:sz w:val="19"/>
        </w:rPr>
        <w:t xml:space="preserve">Übertragbarkeit: </w:t>
      </w:r>
      <w:r>
        <w:rPr>
          <w:sz w:val="19"/>
        </w:rPr>
        <w:t>Schwedisches universales Gesundheitssystem, vergleichbar mit deutschem System und Survivalship-Dateninfrastruktur.</w:t>
      </w:r>
    </w:p>
    <w:p>
      <w:r>
        <w:rPr>
          <w:color w:val="5A7D3A"/>
          <w:sz w:val="18"/>
        </w:rPr>
        <w:t>https://pubmed.ncbi.nlm.nih.gov/42848686/</w:t>
      </w:r>
    </w:p>
    <w:p>
      <w:pPr>
        <w:pStyle w:val="Heading2"/>
      </w:pPr>
      <w:r>
        <w:t>Brain-Metastasis-Risikokalkulator für frühen Brustkrebs validiert</w:t>
      </w:r>
    </w:p>
    <w:p>
      <w:r>
        <w:rPr>
          <w:i/>
          <w:color w:val="666666"/>
          <w:sz w:val="18"/>
        </w:rPr>
        <w:t>Raghavendra AS et al.  ·  J Natl Cancer Inst  ·  08.10.2026  ·  PMID 42848614</w:t>
      </w:r>
    </w:p>
    <w:p>
      <w:r>
        <w:t>Entwicklung und Validierung eines klinischen Vorhersagemodells (BrMR) für Hirnmetastasen-Risiko bei Stadium-I-III-Brustkrebs basierend auf 40.282 Trainings- und 1.644 Validierungspatienten.</w:t>
      </w:r>
    </w:p>
    <w:p>
      <w:r>
        <w:rPr>
          <w:b/>
        </w:rPr>
        <w:t xml:space="preserve">Ergebnis: </w:t>
      </w:r>
      <w:r>
        <w:t>C-Index 0,79 (Training), 0,76 (Validierung); AUROC 0,81/0,79/0,76/0,75 nach 4/6/8/10 Jahren. HER2-Positivität, hohes Ki-67, inflammatorischer Typ und höherer T/N-Status erhöhten Risiko; ER/PR-Positivität, höheres Alter und endokrine Therapie senkten es.</w:t>
      </w:r>
    </w:p>
    <w:p>
      <w:r>
        <w:rPr>
          <w:b/>
          <w:sz w:val="19"/>
        </w:rPr>
        <w:t xml:space="preserve">Übertragbarkeit: </w:t>
      </w:r>
      <w:r>
        <w:rPr>
          <w:sz w:val="19"/>
        </w:rPr>
        <w:t>Validiert in Belgien (Institut Jules Bordet), Datengrundlage für deutsches System adaptierbar.</w:t>
      </w:r>
    </w:p>
    <w:p>
      <w:r>
        <w:rPr>
          <w:color w:val="5A7D3A"/>
          <w:sz w:val="18"/>
        </w:rPr>
        <w:t>https://pubmed.ncbi.nlm.nih.gov/42848614/</w:t>
      </w:r>
    </w:p>
    <w:p>
      <w:pPr>
        <w:pStyle w:val="Heading2"/>
      </w:pPr>
      <w:r>
        <w:t>Preinvasive regulatorische T-Zellen bei Lungenkrebsentstehung: Interventionsziel</w:t>
      </w:r>
    </w:p>
    <w:p>
      <w:r>
        <w:rPr>
          <w:i/>
          <w:color w:val="666666"/>
          <w:sz w:val="18"/>
        </w:rPr>
        <w:t>Gamble S et al.  ·  Nature  ·  07.10.2026  ·  PMID 42844481</w:t>
      </w:r>
    </w:p>
    <w:p>
      <w:r>
        <w:t>Multi-omische Studie mit Bronchoskopie und CT-Bildgebung an Patienten mit preinvasiven Lungenschleimhaut-Läsionen: Identifikation von effektiven regulatorischen CD4+-T-Zellen (eTreg, BATF+) als Frühmarker und therapeutisches Ziel.</w:t>
      </w:r>
    </w:p>
    <w:p>
      <w:r>
        <w:rPr>
          <w:b/>
        </w:rPr>
        <w:t xml:space="preserve">Ergebnis: </w:t>
      </w:r>
      <w:r>
        <w:t>eTreg-Zellen reicherten sich in hochgradigen Läsionen an und korrelierten mit zirkulierenden eTreg-Zellen. Bei Mäusen reduzierte PI3Kδ-Inhibition eTreg-reiche tertiäre lymphoide Strukturen (iTLS), senkte Lungentumoranzahl und -größe. Circulating eTreg-Zellen ermöglichten nicht-invasive Verfolgung der Tumorprogression. eTreg-Achse gekennzeichnet schnelle Progression in frühem NSCLC (CT-Screening).</w:t>
      </w:r>
    </w:p>
    <w:p>
      <w:r>
        <w:rPr>
          <w:b/>
          <w:sz w:val="19"/>
        </w:rPr>
        <w:t xml:space="preserve">Übertragbarkeit: </w:t>
      </w:r>
      <w:r>
        <w:rPr>
          <w:sz w:val="19"/>
        </w:rPr>
        <w:t>UK-Studie (UCL), Mechanismus und Biomarker übertragbar; klinische Anwendung erfordert deutsche Validierung.</w:t>
      </w:r>
    </w:p>
    <w:p>
      <w:r>
        <w:rPr>
          <w:color w:val="5A7D3A"/>
          <w:sz w:val="18"/>
        </w:rPr>
        <w:t>https://pubmed.ncbi.nlm.nih.gov/42844481/</w:t>
      </w:r>
    </w:p>
    <w:p>
      <w:pPr>
        <w:pStyle w:val="Heading2"/>
      </w:pPr>
      <w:r>
        <w:t>Single-Item-Maße für wahrgenommene Therapienebenwirkungen: Scoping Review</w:t>
      </w:r>
    </w:p>
    <w:p>
      <w:r>
        <w:rPr>
          <w:i/>
          <w:color w:val="666666"/>
          <w:sz w:val="18"/>
        </w:rPr>
        <w:t>Jones T et al.  ·  Eur J Cancer  ·  04.10.2026  ·  PMID 42843209</w:t>
      </w:r>
    </w:p>
    <w:p>
      <w:r>
        <w:t>Systematische Analyse zu Einsatz, psychometrischen Eigenschaften und Validität von Single-Item-Fragebögen (EORTC Q168, FACIT GP5) für Treatment-Related Symptom Burden in Krebsstudien.</w:t>
      </w:r>
    </w:p>
    <w:p>
      <w:r>
        <w:rPr>
          <w:b/>
        </w:rPr>
        <w:t xml:space="preserve">Ergebnis: </w:t>
      </w:r>
      <w:r>
        <w:t>67 publizierte Studien und 74 klinische Trials eingeschlossen. FACIT GP5 breiter eingesetzt über Tumortypen (n=27 psychometrische Studien), EORTC Q168 konzentriert auf Pankreas- und Gallenblasenkrebs (n=2). Nachweise für Validität, Reliabilität, Responsiveness, aber konzeptionelle Limitationen bleiben (Symptomzuordnung zu Therapie vs. Erkrankung unklar).</w:t>
      </w:r>
    </w:p>
    <w:p>
      <w:r>
        <w:rPr>
          <w:b/>
          <w:sz w:val="19"/>
        </w:rPr>
        <w:t xml:space="preserve">Übertragbarkeit: </w:t>
      </w:r>
      <w:r>
        <w:rPr>
          <w:sz w:val="19"/>
        </w:rPr>
        <w:t>Europäische Autorengruppe (EORTC), auf deutsche Studien und Zentrenprotokolle direkt anwendbar.</w:t>
      </w:r>
    </w:p>
    <w:p>
      <w:r>
        <w:rPr>
          <w:color w:val="5A7D3A"/>
          <w:sz w:val="18"/>
        </w:rPr>
        <w:t>https://pubmed.ncbi.nlm.nih.gov/42843209/</w:t>
      </w:r>
    </w:p>
    <w:p>
      <w:pPr>
        <w:pStyle w:val="Heading2"/>
      </w:pPr>
      <w:r>
        <w:t>Metastase-gerichtete Ablation im Frühstadium bringt keinen OS-Gewinn bei oligometastasiertem Brustkrebs</w:t>
      </w:r>
    </w:p>
    <w:p>
      <w:r>
        <w:rPr>
          <w:i/>
          <w:color w:val="666666"/>
          <w:sz w:val="18"/>
        </w:rPr>
        <w:t>Chmura SJ et al.  ·  J Clin Oncol  ·  07.10.2026  ·  PMID 42842849</w:t>
      </w:r>
    </w:p>
    <w:p>
      <w:r>
        <w:t>Randomisierte Phase-II/III-Studie (NRG-BR002) mit 125 Patienten (≤4 Metastasen, ≤12 Monate erste systemische Therapie): Metastase-gerichtete Ablation (SBRT/Chirurgie) + Systemtherapie versus nur Systemtherapie als Kontroll.</w:t>
      </w:r>
    </w:p>
    <w:p>
      <w:r>
        <w:rPr>
          <w:b/>
        </w:rPr>
        <w:t xml:space="preserve">Ergebnis: </w:t>
      </w:r>
      <w:r>
        <w:t>Medianes progressionsfreies Überleben: 19,5 Monate (Ablation) vs. 23,0 Monate (nur Systemtherapie); HR 0,92 (70%-KI 0,71-1,17, einseitig p=0,36). Studie schritt nicht zu Phase III vor. OS kein signifikanter Unterschied (HR 1,07, p=0,41). Explorative Analyse: möglicher Vorteil bei niedrigen/fehlenden CTCs. Keine Grade-5-Toxizitäten.</w:t>
      </w:r>
    </w:p>
    <w:p>
      <w:r>
        <w:rPr>
          <w:b/>
          <w:sz w:val="19"/>
        </w:rPr>
        <w:t xml:space="preserve">Übertragbarkeit: </w:t>
      </w:r>
      <w:r>
        <w:rPr>
          <w:sz w:val="19"/>
        </w:rPr>
        <w:t>Nordamerikanische multizentrische RCT (USA/Kanada), Patientenpopulation und Endpoints für deutsches System relevant.</w:t>
      </w:r>
    </w:p>
    <w:p>
      <w:r>
        <w:rPr>
          <w:color w:val="5A7D3A"/>
          <w:sz w:val="18"/>
        </w:rPr>
        <w:t>https://pubmed.ncbi.nlm.nih.gov/42842849/</w:t>
      </w:r>
    </w:p>
    <w:p>
      <w:pPr>
        <w:pStyle w:val="Heading2"/>
      </w:pPr>
      <w:r>
        <w:t>Adjuvante Radiotherapie reduziert Rezidive bei atypischen Meningiomen um 46 %</w:t>
      </w:r>
    </w:p>
    <w:p>
      <w:r>
        <w:rPr>
          <w:i/>
          <w:color w:val="666666"/>
          <w:sz w:val="18"/>
        </w:rPr>
        <w:t>Jenkinson MD et al.  ·  Lancet  ·  10.10.2026  ·  PMID 42790456</w:t>
      </w:r>
    </w:p>
    <w:p>
      <w:r>
        <w:t>Randomisierte Phase-3-Studie (ROAM/EORTC-1308) an 157 Patienten mit WHO-Grad-2-Meningiom nach kompletter Resektion: Radiotherapie (60 Gy/30 Fraktionen) versus Beobachtung.</w:t>
      </w:r>
    </w:p>
    <w:p>
      <w:r>
        <w:rPr>
          <w:b/>
        </w:rPr>
        <w:t xml:space="preserve">Ergebnis: </w:t>
      </w:r>
      <w:r>
        <w:t>5-Jahres-rezidivfreies Überleben: 79,9 % (Radiotherapie) vs. 64,3 % (Beobachtung); Hazard Ratio 0,51 (p=0,0396). Grad-2/3-Nebenwirkungen in 8 % der bestrahlten Patienten, keine Todesfälle durch Strahlung. Rezidive traten bei 14 % vs. 30 % auf.</w:t>
      </w:r>
    </w:p>
    <w:p>
      <w:r>
        <w:rPr>
          <w:b/>
          <w:sz w:val="19"/>
        </w:rPr>
        <w:t xml:space="preserve">Übertragbarkeit: </w:t>
      </w:r>
      <w:r>
        <w:rPr>
          <w:sz w:val="19"/>
        </w:rPr>
        <w:t>Europäische multizentrische RCT (11 Länder), übertragbar auf deutsches Versorgungssystem und Zertifizierungsstandards.</w:t>
      </w:r>
    </w:p>
    <w:p>
      <w:r>
        <w:rPr>
          <w:color w:val="5A7D3A"/>
          <w:sz w:val="18"/>
        </w:rPr>
        <w:t>https://pubmed.ncbi.nlm.nih.gov/42790456/</w:t>
      </w:r>
    </w:p>
    <w:p>
      <w:pPr>
        <w:pStyle w:val="Heading1"/>
      </w:pPr>
      <w:r>
        <w:t>Aufgenommen am 08.10.2026</w:t>
      </w:r>
    </w:p>
    <w:p>
      <w:pPr>
        <w:pStyle w:val="Heading2"/>
      </w:pPr>
      <w:r>
        <w:t>ctDNA-Dynamik nach Resektion bestimmt Therapie-Strategien beim Kolorektalkarzinom</w:t>
      </w:r>
    </w:p>
    <w:p>
      <w:r>
        <w:rPr>
          <w:i/>
          <w:color w:val="666666"/>
          <w:sz w:val="18"/>
        </w:rPr>
        <w:t>Nakamura Y et al.  ·  Ann Oncol  ·  07.10.2026  ·  PMID 42843562</w:t>
      </w:r>
    </w:p>
    <w:p>
      <w:r>
        <w:t>Prospektive Biomarker-Studie (CIRCULATE-Japan) zur postoperativen zirkulären Tumor-DNA-Dynamik und Eligibilität für MRD-gesteuerte Therapie bei Kolorektalkarzinom; insgesamt 402 Patienten eingeschlossen.</w:t>
      </w:r>
    </w:p>
    <w:p>
      <w:r>
        <w:rPr>
          <w:b/>
        </w:rPr>
        <w:t xml:space="preserve">Ergebnis: </w:t>
      </w:r>
      <w:r>
        <w:t>Postoperative ctDNA-Muster bei 402 Patienten erfasst; Details zu ctDNA-Clearance, Persistenz und Zusammenhang mit TOMR-Eligibilität für adaptive Therapiesteuerung angekündigt. Studie abgeschlossen mit vollständigem Datensatz; Primäranalyse präsentiert mit Fokus auf MRD-gelenkte Behandlungsansätze.</w:t>
      </w:r>
    </w:p>
    <w:p>
      <w:r>
        <w:rPr>
          <w:b/>
          <w:sz w:val="19"/>
        </w:rPr>
        <w:t xml:space="preserve">Übertragbarkeit: </w:t>
      </w:r>
      <w:r>
        <w:rPr>
          <w:sz w:val="19"/>
        </w:rPr>
        <w:t>Japan, Gesundheitssystem mit ähnlichen Dokumentations- und Qualitätsstandards wie Deutschland</w:t>
      </w:r>
    </w:p>
    <w:p>
      <w:r>
        <w:rPr>
          <w:color w:val="5A7D3A"/>
          <w:sz w:val="18"/>
        </w:rPr>
        <w:t>https://pubmed.ncbi.nlm.nih.gov/42843562/</w:t>
      </w:r>
    </w:p>
    <w:p>
      <w:pPr>
        <w:pStyle w:val="Heading2"/>
      </w:pPr>
      <w:r>
        <w:t>Neoadjuvantes Niraparib ermöglicht R0-Resektion bei HRD-positivem Ovarialkarzinom</w:t>
      </w:r>
    </w:p>
    <w:p>
      <w:r>
        <w:rPr>
          <w:i/>
          <w:color w:val="666666"/>
          <w:sz w:val="18"/>
        </w:rPr>
        <w:t>Liu D et al.  ·  Lancet Oncol  ·  07.10.2026  ·  PMID 42843394</w:t>
      </w:r>
    </w:p>
    <w:p>
      <w:r>
        <w:t>Phase-2-Studie zu Niraparib-Monotherapie ohne Chemotherapie bei HRD-positiven, initial inoperablen Ovarialkarzinom-Patientinnen mit hohem chirurgischem Risiko.</w:t>
      </w:r>
    </w:p>
    <w:p>
      <w:r>
        <w:rPr>
          <w:b/>
        </w:rPr>
        <w:t xml:space="preserve">Ergebnis: </w:t>
      </w:r>
      <w:r>
        <w:t>Unter 67 Patientinnen: objektive Ansprechrate 63% (95%-KI 47–76), R0-Resektionsrate 80% (95%-KI 64–91). Häufigste Grad-3/4-Nebenwirkungen waren Thrombozytopenie (48%), Leukopenie (19%), Anämie (18%); 28% hatten ernsthafte Nebenwirkungen, keine Todesfälle durch Behandlung. Strategie bleibt investigativ und benötigt randomisierte Validierung gegen Standard-Chemotherapie.</w:t>
      </w:r>
    </w:p>
    <w:p>
      <w:r>
        <w:rPr>
          <w:b/>
          <w:sz w:val="19"/>
        </w:rPr>
        <w:t xml:space="preserve">Übertragbarkeit: </w:t>
      </w:r>
      <w:r>
        <w:rPr>
          <w:sz w:val="19"/>
        </w:rPr>
        <w:t>China, ähnliche Dokumentationsstandards; Datenschnitt mit 37,7 Monaten Follow-up verfügbar</w:t>
      </w:r>
    </w:p>
    <w:p>
      <w:r>
        <w:rPr>
          <w:color w:val="5A7D3A"/>
          <w:sz w:val="18"/>
        </w:rPr>
        <w:t>https://pubmed.ncbi.nlm.nih.gov/42843394/</w:t>
      </w:r>
    </w:p>
    <w:p>
      <w:pPr>
        <w:pStyle w:val="Heading2"/>
      </w:pPr>
      <w:r>
        <w:t>Exom-Sequenzierung identifiziert erbliche Krebsrisiken bei Kindern mit Hochrisiko-Tumoren</w:t>
      </w:r>
    </w:p>
    <w:p>
      <w:r>
        <w:rPr>
          <w:i/>
          <w:color w:val="666666"/>
          <w:sz w:val="18"/>
        </w:rPr>
        <w:t>Adamde Beaumais T et al.  ·  Eur J Cancer  ·  04.10.2026  ·  PMID 42843210</w:t>
      </w:r>
    </w:p>
    <w:p>
      <w:r>
        <w:t>Systematische Keimbahnanalyse aus therapeutischem Profiling (MAPPYACTS-Studie) bei 674 Kindern mit rezidivierenden/refraktären Malignomen zur Identifikation actionabler genetischer Befunde.</w:t>
      </w:r>
    </w:p>
    <w:p>
      <w:r>
        <w:rPr>
          <w:b/>
        </w:rPr>
        <w:t xml:space="preserve">Ergebnis: </w:t>
      </w:r>
      <w:r>
        <w:t>19,3% der Patienten (130/674) trugen pathogene/wahrscheinlich pathogene Varianten in 53 Krebs-Prädispositionsgenen; 8,6% (58) benötigten genetische Beratung. Häufigste Gene: TP53 (n=17), DICER1 (n=5), BRCA1 (n=4). 35% der Befunde waren nicht vorher bekannt. Zusätzlich 10 Patienten (1,5%) mit actionablen Varianten in Nicht-Krebs-Genen (Kardiomyopathien, familiäre Hyperholesterinämie). 98,6% der Familien stimmten Offenlegung zu.</w:t>
      </w:r>
    </w:p>
    <w:p>
      <w:r>
        <w:rPr>
          <w:b/>
          <w:sz w:val="19"/>
        </w:rPr>
        <w:t xml:space="preserve">Übertragbarkeit: </w:t>
      </w:r>
      <w:r>
        <w:rPr>
          <w:sz w:val="19"/>
        </w:rPr>
        <w:t>Frankreich; multidisziplinärer Rahmen übertragbar auf deutsche Zentren mit genetischer Beratung</w:t>
      </w:r>
    </w:p>
    <w:p>
      <w:r>
        <w:rPr>
          <w:color w:val="5A7D3A"/>
          <w:sz w:val="18"/>
        </w:rPr>
        <w:t>https://pubmed.ncbi.nlm.nih.gov/42843210/</w:t>
      </w:r>
    </w:p>
    <w:p>
      <w:pPr>
        <w:pStyle w:val="Heading2"/>
      </w:pPr>
      <w:r>
        <w:t>Screening-Intervalle für Mundhöhlenkrebs können auf zehn Jahre verlängert werden</w:t>
      </w:r>
    </w:p>
    <w:p>
      <w:r>
        <w:rPr>
          <w:i/>
          <w:color w:val="666666"/>
          <w:sz w:val="18"/>
        </w:rPr>
        <w:t>Cheung LC et al.  ·  J Natl Cancer Inst  ·  07.10.2026  ·  PMID 42842394</w:t>
      </w:r>
    </w:p>
    <w:p>
      <w:r>
        <w:t>Langzeitbeobachtung von 41.225 Kau- und Raucher aus der Kerala Oral Cancer Screening Trial (1996–2010): Analyse von Screening-Sensitivität, prädiktiven Werten und natürlicher Krankheitsgeschichte über multistate-Modelle.</w:t>
      </w:r>
    </w:p>
    <w:p>
      <w:r>
        <w:rPr>
          <w:b/>
        </w:rPr>
        <w:t xml:space="preserve">Ergebnis: </w:t>
      </w:r>
      <w:r>
        <w:t>Visuelles Screening über zwei aufeinanderfolgende Untersuchungen (Median 3,5 Jahre Abstand): Sensitivität 89,2%, positiv-prädiktiver Wert 1,55%, negativer Vorhersagewert 99,96% für prävalente Krebsfälle. Wiederholte Screening-Negative hatten 32-fach niedrigeres Krebsrisiko über 11 Jahre. Mittlere Dauer von Früh- zu Spätstadium: 2,7 Jahre. Mittlere Verweilzeit in Präkanzerose: 19,3 Jahre.</w:t>
      </w:r>
    </w:p>
    <w:p>
      <w:r>
        <w:rPr>
          <w:b/>
          <w:sz w:val="19"/>
        </w:rPr>
        <w:t xml:space="preserve">Übertragbarkeit: </w:t>
      </w:r>
      <w:r>
        <w:rPr>
          <w:sz w:val="19"/>
        </w:rPr>
        <w:t>Indien, hohe Prävalenz von Kau- und Rauchtabak; Screening-Algorithmus prinzipiell auf europäische Risikopopulationen übertragbar</w:t>
      </w:r>
    </w:p>
    <w:p>
      <w:r>
        <w:rPr>
          <w:color w:val="5A7D3A"/>
          <w:sz w:val="18"/>
        </w:rPr>
        <w:t>https://pubmed.ncbi.nlm.nih.gov/42842394/</w:t>
      </w:r>
    </w:p>
    <w:p>
      <w:pPr>
        <w:pStyle w:val="Heading2"/>
      </w:pPr>
      <w:r>
        <w:t>Daratumumab plus Lenalidomid/Dexamethason verlängert Überleben bei nicht transplantierbarem Myelom</w:t>
      </w:r>
    </w:p>
    <w:p>
      <w:r>
        <w:rPr>
          <w:i/>
          <w:color w:val="666666"/>
          <w:sz w:val="18"/>
        </w:rPr>
        <w:t>Facon T et al.  ·  Leukemia  ·  06.10.2026  ·  PMID 42839070</w:t>
      </w:r>
    </w:p>
    <w:p>
      <w:r>
        <w:t>Subgruppenanalyse der MAIA-Studie nach Frailty-Status bei älteren Patienten mit neu diagnostiziertem multiplem Myelom, die nicht für Stammzelltransplantation geeignet sind.</w:t>
      </w:r>
    </w:p>
    <w:p>
      <w:r>
        <w:rPr>
          <w:b/>
        </w:rPr>
        <w:t xml:space="preserve">Ergebnis: </w:t>
      </w:r>
      <w:r>
        <w:t>Bei nicht-frailen Patienten war das Gesamtüberleben unter D-Rd signifikant besser (Median nicht erreicht vs. 69,8 Monate; HR 0,53; 95%-KI 0,37–0,76; p=0,0004); bei frailen Patienten zeigte sich ein Trend ohne Signifikanz (HR 0,79; p=0,1128). Komplette Remissionsraten und MRD-Negativität waren über alle Frailty-Gruppen hinweg verbessert; längere Therapiedauer unter D-Rd deutete auf bessere Verträglichkeit hin.</w:t>
      </w:r>
    </w:p>
    <w:p>
      <w:r>
        <w:rPr>
          <w:b/>
          <w:sz w:val="19"/>
        </w:rPr>
        <w:t xml:space="preserve">Übertragbarkeit: </w:t>
      </w:r>
      <w:r>
        <w:rPr>
          <w:sz w:val="19"/>
        </w:rPr>
        <w:t>Europäische und kanadische Kliniken; direkter Bezug zu deutschen Behandlungsstandards beim älteren Myelom-Patient</w:t>
      </w:r>
    </w:p>
    <w:p>
      <w:r>
        <w:rPr>
          <w:color w:val="5A7D3A"/>
          <w:sz w:val="18"/>
        </w:rPr>
        <w:t>https://pubmed.ncbi.nlm.nih.gov/42839070/</w:t>
      </w:r>
    </w:p>
    <w:p>
      <w:pPr>
        <w:pStyle w:val="Heading2"/>
      </w:pPr>
      <w:r>
        <w:t>Blinatumomab-Kombination verbessert Überleben bei BCR::ABL1-negativer adulter ALL in Hochrisiko-Subtypen</w:t>
      </w:r>
    </w:p>
    <w:p>
      <w:r>
        <w:rPr>
          <w:i/>
          <w:color w:val="666666"/>
          <w:sz w:val="18"/>
        </w:rPr>
        <w:t>Zhong X et al.  ·  Blood  ·  05.10.2026  ·  PMID 42832396</w:t>
      </w:r>
    </w:p>
    <w:p>
      <w:r>
        <w:t>Genomische Charakterisierung von 569 Patienten der ECOG-ACRIN E1910-Studie zu Blinatumomab plus Chemotherapie bei BCR::ABL1-negativer B-ALL; Analyse von 23 Molekularsubtypen und Treibergenen.</w:t>
      </w:r>
    </w:p>
    <w:p>
      <w:r>
        <w:rPr>
          <w:b/>
        </w:rPr>
        <w:t xml:space="preserve">Ergebnis: </w:t>
      </w:r>
      <w:r>
        <w:t>Blinatumomab-Addition führte zu verbessertem rezidivfreiem und Gesamtüberleben bei hyperdiploidem, PAX5alt, PAX5 P80R, BCR::ABL1-ähnlichem JAK-STAT und KMT2A-R-Subtyp. TP53-Alterationen oder CHIP-assoziierte Mutationen (insgesamt 15,3% bzw. 9,8%) waren mit älterem Diagnose-Alter und schlechterem Ergebnis assoziiert. Analysen für einzelne Subtypen kleinerer Fallzahlen; Bestätigung erforderlich.</w:t>
      </w:r>
    </w:p>
    <w:p>
      <w:r>
        <w:rPr>
          <w:b/>
          <w:sz w:val="19"/>
        </w:rPr>
        <w:t xml:space="preserve">Übertragbarkeit: </w:t>
      </w:r>
      <w:r>
        <w:rPr>
          <w:sz w:val="19"/>
        </w:rPr>
        <w:t>USA; genomische Klassifikation und Therapiestrategie prinzipiell auf deutsche ALL-Zentren übertragbar</w:t>
      </w:r>
    </w:p>
    <w:p>
      <w:r>
        <w:rPr>
          <w:color w:val="5A7D3A"/>
          <w:sz w:val="18"/>
        </w:rPr>
        <w:t>https://pubmed.ncbi.nlm.nih.gov/42832396/</w:t>
      </w:r>
    </w:p>
    <w:p>
      <w:pPr>
        <w:pStyle w:val="Heading1"/>
      </w:pPr>
      <w:r>
        <w:t>Aufgenommen am 07.10.2026</w:t>
      </w:r>
    </w:p>
    <w:p>
      <w:pPr>
        <w:pStyle w:val="Heading2"/>
      </w:pPr>
      <w:r>
        <w:t>Saure Mikroumgebung vermindert CD8-Immunität: Zielstruktur für Immuntherapie-Resistenz bei Magenkrebs</w:t>
      </w:r>
    </w:p>
    <w:p>
      <w:r>
        <w:rPr>
          <w:i/>
          <w:color w:val="666666"/>
          <w:sz w:val="18"/>
        </w:rPr>
        <w:t>Wang T et al.  ·  Cancer Cell  ·  06.10.2026  ·  PMID 42838052</w:t>
      </w:r>
    </w:p>
    <w:p>
      <w:r>
        <w:t>Einzelzell-Chromatin-Accessibility-Atlas von 650 Proben aus 439 Patienten mit multistep-Magenkrebsentstehung zur Identifikation epigenomischer Subtypen und ihrer Immuntherapie-Sensitivität.</w:t>
      </w:r>
    </w:p>
    <w:p>
      <w:r>
        <w:rPr>
          <w:b/>
        </w:rPr>
        <w:t xml:space="preserve">Ergebnis: </w:t>
      </w:r>
      <w:r>
        <w:t>Drei epigenomische Subtypen: proliferativ und mesenchymal-inflammatorisch sind sensitiv für neoadjuvante Immuntherapie. Ein dritter, pseudo-gastraler Subtyp ist intrinsisch therapieresistent, gekennzeichnet durch FOSL2-getriebene H+/K+-ATPase-Expression und Acidifiez­rung. Inhibition durch FOSL2-Depletion oder Vonoprazan (verfügbarer H+-Blocker) sensibilisiert für Immuntherapie und unterdrückt CD8+ T-Zellen.</w:t>
      </w:r>
    </w:p>
    <w:p>
      <w:r>
        <w:rPr>
          <w:b/>
          <w:sz w:val="19"/>
        </w:rPr>
        <w:t xml:space="preserve">Übertragbarkeit: </w:t>
      </w:r>
      <w:r>
        <w:rPr>
          <w:sz w:val="19"/>
        </w:rPr>
        <w:t>China, Mechanismus epigenetisch fundiert; Vonoprazan in Deutschland zugelassen, klinische Translation noch offen.</w:t>
      </w:r>
    </w:p>
    <w:p>
      <w:r>
        <w:rPr>
          <w:color w:val="5A7D3A"/>
          <w:sz w:val="18"/>
        </w:rPr>
        <w:t>https://pubmed.ncbi.nlm.nih.gov/42838052/</w:t>
      </w:r>
    </w:p>
    <w:p>
      <w:pPr>
        <w:pStyle w:val="Heading2"/>
      </w:pPr>
      <w:r>
        <w:t>Glofitamab plus Polatuzumab-R-CHP: 95% Complete-Response-Rate bei DLBCL</w:t>
      </w:r>
    </w:p>
    <w:p>
      <w:r>
        <w:rPr>
          <w:i/>
          <w:color w:val="666666"/>
          <w:sz w:val="18"/>
        </w:rPr>
        <w:t>Crombie JL et al.  ·  Blood  ·  06.10.2026  ·  PMID 42837325</w:t>
      </w:r>
    </w:p>
    <w:p>
      <w:r>
        <w:t>Phase-II-Studie zur Kombination des CD3xCD20-Bispecific-Antikörpers Glofitamab mit Polatuzumab und Standardchemotherapie (pola-R-CHP) bei neu diagnostiziertem diffusem großzelligem B-Zell-Lymphom mit IPI ≥2.</w:t>
      </w:r>
    </w:p>
    <w:p>
      <w:r>
        <w:rPr>
          <w:b/>
        </w:rPr>
        <w:t xml:space="preserve">Ergebnis: </w:t>
      </w:r>
      <w:r>
        <w:t>Best Complete-Response-Rate 95% (39/41; 95%-KI 83–99), beide Patienten mit Partialremission konvertierten ohne Intervention. Bei Median-Follow-up 23,9 Monate: 24-Monats-PFS 95% (95%-KI 89–100). Cytokine-Release-Syndrome nur Grad 1 (n=4, 10%), keine Neurotoxizität. Vorläufig belastbare Ansprechraten und Verträglichkeit.</w:t>
      </w:r>
    </w:p>
    <w:p>
      <w:r>
        <w:rPr>
          <w:b/>
          <w:sz w:val="19"/>
        </w:rPr>
        <w:t xml:space="preserve">Übertragbarkeit: </w:t>
      </w:r>
      <w:r>
        <w:rPr>
          <w:sz w:val="19"/>
        </w:rPr>
        <w:t>USA, ähnlicher Ressourcenausstattung wie deutsches System; Zulassung noch zu klären.</w:t>
      </w:r>
    </w:p>
    <w:p>
      <w:r>
        <w:rPr>
          <w:color w:val="5A7D3A"/>
          <w:sz w:val="18"/>
        </w:rPr>
        <w:t>https://pubmed.ncbi.nlm.nih.gov/42837325/</w:t>
      </w:r>
    </w:p>
    <w:p>
      <w:pPr>
        <w:pStyle w:val="Heading2"/>
      </w:pPr>
      <w:r>
        <w:t>Telomerlänge prognostiziert Progression bei CLL unter Venetoclax-Therapie</w:t>
      </w:r>
    </w:p>
    <w:p>
      <w:r>
        <w:rPr>
          <w:i/>
          <w:color w:val="666666"/>
          <w:sz w:val="18"/>
        </w:rPr>
        <w:t>Jebaraj BMC et al.  ·  Blood  ·  06.10.2026  ·  PMID 42837320</w:t>
      </w:r>
    </w:p>
    <w:p>
      <w:r>
        <w:t>Prospektive Analyse von 917 Patientenproben aus den randomisierten Studien GAIA/CLL13 und CLL2-GIVe zu prognostischer Bedeutung der Telomerlänge unter modernen Targeted Therapies bei chronischer lymphatischer Leukämie.</w:t>
      </w:r>
    </w:p>
    <w:p>
      <w:r>
        <w:rPr>
          <w:b/>
        </w:rPr>
        <w:t xml:space="preserve">Ergebnis: </w:t>
      </w:r>
      <w:r>
        <w:t>Kurze Telomere (Cutoff 4,17 kb) korrelierten mit ungünstigen klinischen und genetischen Merkmalen (alle p&lt;0,01). Sie waren unabhängiger Prognosefaktor für verkürztes progressionsfreies Überleben in allen Behandlungsarmen (p&lt;0,01), in der Chemoimmunotherapie auch für Gesamtüberleben (p=0,024). Unter Venetoclax-basierten Kombinationen: Median-PFS 7 Jahre bei langen Telomeren, deutlich kürzer bei kurzen.</w:t>
      </w:r>
    </w:p>
    <w:p>
      <w:r>
        <w:rPr>
          <w:b/>
          <w:sz w:val="19"/>
        </w:rPr>
        <w:t xml:space="preserve">Übertragbarkeit: </w:t>
      </w:r>
      <w:r>
        <w:rPr>
          <w:sz w:val="19"/>
        </w:rPr>
        <w:t>Deutsche und europäische Multizenterstudie, direkt auf deutsches Krebszentrumsetting übertragbar.</w:t>
      </w:r>
    </w:p>
    <w:p>
      <w:r>
        <w:rPr>
          <w:color w:val="5A7D3A"/>
          <w:sz w:val="18"/>
        </w:rPr>
        <w:t>https://pubmed.ncbi.nlm.nih.gov/42837320/</w:t>
      </w:r>
    </w:p>
    <w:p>
      <w:pPr>
        <w:pStyle w:val="Heading2"/>
      </w:pPr>
      <w:r>
        <w:t>21-Gen-Recurrence-Score bei pN2-3 Brustkrebs: OS-Vorteil durch Chemotherapie</w:t>
      </w:r>
    </w:p>
    <w:p>
      <w:r>
        <w:rPr>
          <w:i/>
          <w:color w:val="666666"/>
          <w:sz w:val="18"/>
        </w:rPr>
        <w:t>Valenza C et al.  ·  J Natl Cancer Inst  ·  06.10.2026  ·  PMID 42836707</w:t>
      </w:r>
    </w:p>
    <w:p>
      <w:r>
        <w:t>Nationale retrospektive Kohortenstudie (USA, NCDB) an 3.110 von 50.229 Patienten mit hormonrezeptorpositivem/HER2-negativem Brustkrebs (pN2-3) und 21-Gen-RS ≤25 zum Nutzen adjuvanter Chemotherapie trotz niedriger genetischer Risikogruppe.</w:t>
      </w:r>
    </w:p>
    <w:p>
      <w:r>
        <w:rPr>
          <w:b/>
        </w:rPr>
        <w:t xml:space="preserve">Ergebnis: </w:t>
      </w:r>
      <w:r>
        <w:t>Unter 2.058 getesteten Patienten mit RS ≤25 (Median 15) erhielten 68% Chemotherapie. Bei Median-Follow-up 5,3 Jahre: Adjustierte HR für Gesamtüberleben (Chemotherapie vs. keine) 0,62 (95%-KI 0,48–0,81; p=0,0002). Autoren warnen vor Confounder-by-Indication und fordern RCTs – Ergebnis unter Vorbehalt.</w:t>
      </w:r>
    </w:p>
    <w:p>
      <w:r>
        <w:rPr>
          <w:b/>
          <w:sz w:val="19"/>
        </w:rPr>
        <w:t xml:space="preserve">Übertragbarkeit: </w:t>
      </w:r>
      <w:r>
        <w:rPr>
          <w:sz w:val="19"/>
        </w:rPr>
        <w:t>USA-Klinikdaten, System unterscheidet sich; 21-Gen-Test in Deutschland begrenzt verfügbar.</w:t>
      </w:r>
    </w:p>
    <w:p>
      <w:r>
        <w:rPr>
          <w:color w:val="5A7D3A"/>
          <w:sz w:val="18"/>
        </w:rPr>
        <w:t>https://pubmed.ncbi.nlm.nih.gov/42836707/</w:t>
      </w:r>
    </w:p>
    <w:p>
      <w:pPr>
        <w:pStyle w:val="Heading2"/>
      </w:pPr>
      <w:r>
        <w:t>Antibody-Drug-Conjugates versus Chemotherapie: unterschiedliche Lebensqualitäts-Profile</w:t>
      </w:r>
    </w:p>
    <w:p>
      <w:r>
        <w:rPr>
          <w:i/>
          <w:color w:val="666666"/>
          <w:sz w:val="18"/>
        </w:rPr>
        <w:t>Milani M et al.  ·  Oncologist  ·  05.10.2026  ·  PMID 42834440</w:t>
      </w:r>
    </w:p>
    <w:p>
      <w:r>
        <w:t>Prospektive italienische Kohortenstudie (DAMA-Framework) mit elektronischen Patienten-Reported Outcome Measures (ePROMs) bei 122 Patientinnen mit metastasiertem Brustkrebs unter Second-Line-Therapie: 51 ADC vs. 71 konventionelle Chemotherapie, 6-Monats-Follow-up.</w:t>
      </w:r>
    </w:p>
    <w:p>
      <w:r>
        <w:rPr>
          <w:b/>
        </w:rPr>
        <w:t xml:space="preserve">Ergebnis: </w:t>
      </w:r>
      <w:r>
        <w:t>ADC-Gruppe: stärkerer Gewichtsverlust bei 3 Monaten (–3,1 vs. –1,2 kg), größerer Rückgang wöchentlicher körperlicher Aktivität (–41 vs. –22 Min./Woche), höhere psychische Belastung und Caregiver-Burden, aber niedrigere Schmerzwerte (3,7 vs. 5,3). Bei 6 Monaten: mehrere Unterschiede attenuiert. Physische Aktivität korrelierte nicht mit Schmerz, Stress oder Angst.</w:t>
      </w:r>
    </w:p>
    <w:p>
      <w:r>
        <w:rPr>
          <w:b/>
          <w:sz w:val="19"/>
        </w:rPr>
        <w:t xml:space="preserve">Übertragbarkeit: </w:t>
      </w:r>
      <w:r>
        <w:rPr>
          <w:sz w:val="19"/>
        </w:rPr>
        <w:t>Italien, innerhalb Europas übertragbar; ePROM-Ansatz für deutsche Versorgungsforschung relevant.</w:t>
      </w:r>
    </w:p>
    <w:p>
      <w:r>
        <w:rPr>
          <w:color w:val="5A7D3A"/>
          <w:sz w:val="18"/>
        </w:rPr>
        <w:t>https://pubmed.ncbi.nlm.nih.gov/42834440/</w:t>
      </w:r>
    </w:p>
    <w:p>
      <w:pPr>
        <w:pStyle w:val="Heading2"/>
      </w:pPr>
      <w:r>
        <w:t>Krebsinzidenz bei Kindern, Jugendlichen und jungen Erwachsenen in England 2001–2020</w:t>
      </w:r>
    </w:p>
    <w:p>
      <w:r>
        <w:rPr>
          <w:i/>
          <w:color w:val="666666"/>
          <w:sz w:val="18"/>
        </w:rPr>
        <w:t>Thompson S et al.  ·  Eur J Cancer  ·  02.10.2026  ·  PMID 42833137</w:t>
      </w:r>
    </w:p>
    <w:p>
      <w:r>
        <w:t>Nationale Registerstudie aus England (NDRS) zu Trends bei Neudiagnosen von Krebserkrankungen bei Unter-25-Jährigen über 20 Jahre mit Joinpoint-Analyse und Geschlechterstratifizierung.</w:t>
      </w:r>
    </w:p>
    <w:p>
      <w:r>
        <w:rPr>
          <w:b/>
        </w:rPr>
        <w:t xml:space="preserve">Ergebnis: </w:t>
      </w:r>
      <w:r>
        <w:t>Gesamtinzidenz 147 pro Million (0–14 Jahre) und 273 pro Million (15–24 Jahre). Lymphoidale Leukämie und Hirn-/ZNS-Tumoren: 46% der Diagnosen bei Kindern. Bei jungen Erwachsenen: Hodgkin-Lymphom 15%, malignes Melanom 9%, Hodenkrebs 24% der Männer. Kolorektaler Krebs bei 15–24-Jährigen: Anstieg bis 2015, dann APC –37,59% (p&lt;0,001). Schilddrüsenkrebs: kontinuierlicher Anstieg (APC +5,49%, p&lt;0,001). Gebärmutterhalskrebs Rückgang seit 2015 (APC –21,9%, p=0,03).</w:t>
      </w:r>
    </w:p>
    <w:p>
      <w:r>
        <w:rPr>
          <w:b/>
          <w:sz w:val="19"/>
        </w:rPr>
        <w:t xml:space="preserve">Übertragbarkeit: </w:t>
      </w:r>
      <w:r>
        <w:rPr>
          <w:sz w:val="19"/>
        </w:rPr>
        <w:t>England, vergleichbares Versicherungssystem, ähnliche Registerqualität wie Deutschland.</w:t>
      </w:r>
    </w:p>
    <w:p>
      <w:r>
        <w:rPr>
          <w:color w:val="5A7D3A"/>
          <w:sz w:val="18"/>
        </w:rPr>
        <w:t>https://pubmed.ncbi.nlm.nih.gov/42833137/</w:t>
      </w:r>
    </w:p>
    <w:p>
      <w:pPr>
        <w:pStyle w:val="Heading2"/>
      </w:pPr>
      <w:r>
        <w:t>Vaginales Östrogen bei Brust- und Gynäkologie-Krebsüberlebenden: Sicherheit und Wirksamkeit</w:t>
      </w:r>
    </w:p>
    <w:p>
      <w:r>
        <w:rPr>
          <w:i/>
          <w:color w:val="666666"/>
          <w:sz w:val="18"/>
        </w:rPr>
        <w:t>Burns JB et al.  ·  JCO Oncol Pract  ·  05.10.2026  ·  PMID 42832731</w:t>
      </w:r>
    </w:p>
    <w:p>
      <w:r>
        <w:t>Narrative Review zur Sicherheit und Wirksamkeit von Low-Dose-Vaginaloestrogen bei Behandlung von Genitourinary-Syndrome-of-Menopause (GSM) in Patienten mit früherer Brust- oder Gynäkologiakrebserkrankung basierend auf aktueller Literatur und Leitlinien.</w:t>
      </w:r>
    </w:p>
    <w:p>
      <w:r>
        <w:rPr>
          <w:b/>
        </w:rPr>
        <w:t xml:space="preserve">Ergebnis: </w:t>
      </w:r>
      <w:r>
        <w:t>Vaginoestrogen zeigt konsistent signifikante Verbesserung von GSM-Symptomen und Lebensqualität. Minimale systemische Absorption bei Low-Dose-Formulierungen (Serum-Estradiol bleibt postmenopausal). Große observationale Studien und Metaanalysen zeigen keinen erhöhten Brustkrebs-Rezidiv- oder Mortalitätsrisiko, auch bei Östrogenrezeptor-positivem Krebs und Tamoxifen-Therapie. Daten für Aromatase-Inhibitor-Patienten limitiert. Sicherheit und Wirksamkeit unterstützt bei Shared Decision-Making; nicht-hormonale Therapie erste Linie, Low-Dose-Vaginaloestrogen effektive Option bei refraktären Symptomen.</w:t>
      </w:r>
    </w:p>
    <w:p>
      <w:r>
        <w:rPr>
          <w:b/>
          <w:sz w:val="19"/>
        </w:rPr>
        <w:t xml:space="preserve">Übertragbarkeit: </w:t>
      </w:r>
      <w:r>
        <w:rPr>
          <w:sz w:val="19"/>
        </w:rPr>
        <w:t>Systematische Literaturübersicht, internationale Evidenz; deutsches Versorgungsprinzip des Shared Decision-Making abgedeckt.</w:t>
      </w:r>
    </w:p>
    <w:p>
      <w:r>
        <w:rPr>
          <w:color w:val="5A7D3A"/>
          <w:sz w:val="18"/>
        </w:rPr>
        <w:t>https://pubmed.ncbi.nlm.nih.gov/42832731/</w:t>
      </w:r>
    </w:p>
    <w:p>
      <w:pPr>
        <w:pStyle w:val="Heading1"/>
      </w:pPr>
      <w:r>
        <w:t>Aufgenommen am 06.10.2026</w:t>
      </w:r>
    </w:p>
    <w:p>
      <w:pPr>
        <w:pStyle w:val="Heading2"/>
      </w:pPr>
      <w:r>
        <w:t>EGCG reduziert EBV-Reaktivierung bei Nasopharynxkarzinom nicht</w:t>
      </w:r>
    </w:p>
    <w:p>
      <w:r>
        <w:rPr>
          <w:i/>
          <w:color w:val="666666"/>
          <w:sz w:val="18"/>
        </w:rPr>
        <w:t>Tsai HJ et al.  ·  Eur J Cancer  ·  01.10.2026  ·  PMID 42833136</w:t>
      </w:r>
    </w:p>
    <w:p>
      <w:r>
        <w:t>Randomisierte Studie bei 353 Patienten mit Nasopharynxkarzinom in Remission: Epigallocatechingallat (EGCG) aus grünem Tee versus Placebo für 3 Jahre zur Verhinderung von EBV-Reaktivierung und Tumorrezidiv.</w:t>
      </w:r>
    </w:p>
    <w:p>
      <w:r>
        <w:rPr>
          <w:b/>
        </w:rPr>
        <w:t xml:space="preserve">Ergebnis: </w:t>
      </w:r>
      <w:r>
        <w:t>EGCG reduzierte weder die EBV-DNA-Reaktivierungsrate noch die Rezidivrate signifikant. Positive plasma-EBV-DNA war jedoch stark mit hoher Rezidivrate und kürzerer rezidivfreier sowie Gesamtüberlebenszeit assoziiert (alle p&lt;0,05). EBV-DNA eignet sich als Überwachungsmarker.</w:t>
      </w:r>
    </w:p>
    <w:p>
      <w:r>
        <w:rPr>
          <w:b/>
          <w:sz w:val="19"/>
        </w:rPr>
        <w:t xml:space="preserve">Übertragbarkeit: </w:t>
      </w:r>
      <w:r>
        <w:rPr>
          <w:sz w:val="19"/>
        </w:rPr>
        <w:t>Taiwan-Studie, aber Methodik und Ergebnis sind auf HNO-Zentren übertragbar</w:t>
      </w:r>
    </w:p>
    <w:p>
      <w:r>
        <w:rPr>
          <w:color w:val="5A7D3A"/>
          <w:sz w:val="18"/>
        </w:rPr>
        <w:t>https://pubmed.ncbi.nlm.nih.gov/42833136/</w:t>
      </w:r>
    </w:p>
    <w:p>
      <w:pPr>
        <w:pStyle w:val="Heading2"/>
      </w:pPr>
      <w:r>
        <w:t>Mosunetuzumab-Polatuzumab bei älteren fragilen Patienten mit großzelligem B-Lymphom</w:t>
      </w:r>
    </w:p>
    <w:p>
      <w:r>
        <w:rPr>
          <w:i/>
          <w:color w:val="666666"/>
          <w:sz w:val="18"/>
        </w:rPr>
        <w:t>Olszewski AJ et al.  ·  Blood  ·  05.10.2026  ·  PMID 42832423</w:t>
      </w:r>
    </w:p>
    <w:p>
      <w:r>
        <w:t>Offene Phase-I/II-Studie mit 101 älteren/unfitness Patienten mit neu diagnostiziertem diffusem großzelligem B-Lymphom (Medianalter 81 Jahre): Mosunetuzumab plus Polatuzumab vedotin für bis zu 8 Zyklen, bewertet nach geriatrischer Assessmentklassifikation.</w:t>
      </w:r>
    </w:p>
    <w:p>
      <w:r>
        <w:rPr>
          <w:b/>
        </w:rPr>
        <w:t xml:space="preserve">Ergebnis: </w:t>
      </w:r>
      <w:r>
        <w:t>ORR 61,4%, komplette Remission 56,4%. Zwei-Jahres-PFS 52,2%, Zwei-Jahres-OS 62,4% (Median nicht erreicht). Cytokine-Release-Syndrome in 30,6% (überwiegend Grad 1). Infektionsbedingte Mortalität vor allem bei als 'frail' klassifizierten Patienten und während COVID-19-Pandemie.</w:t>
      </w:r>
    </w:p>
    <w:p>
      <w:r>
        <w:rPr>
          <w:b/>
          <w:sz w:val="19"/>
        </w:rPr>
        <w:t xml:space="preserve">Übertragbarkeit: </w:t>
      </w:r>
      <w:r>
        <w:rPr>
          <w:sz w:val="19"/>
        </w:rPr>
        <w:t>Internationales Design, deutschsprachiger Co-Autor, vergleichbare Behandlungsstandards</w:t>
      </w:r>
    </w:p>
    <w:p>
      <w:r>
        <w:rPr>
          <w:color w:val="5A7D3A"/>
          <w:sz w:val="18"/>
        </w:rPr>
        <w:t>https://pubmed.ncbi.nlm.nih.gov/42832423/</w:t>
      </w:r>
    </w:p>
    <w:p>
      <w:pPr>
        <w:pStyle w:val="Heading2"/>
      </w:pPr>
      <w:r>
        <w:t>RVD-lite bewährt sich langfristig bei älteren Multiplem Myelom</w:t>
      </w:r>
    </w:p>
    <w:p>
      <w:r>
        <w:rPr>
          <w:i/>
          <w:color w:val="666666"/>
          <w:sz w:val="18"/>
        </w:rPr>
        <w:t>Gustine JN et al.  ·  Clin Cancer Res  ·  05.10.2026  ·  PMID 42832368</w:t>
      </w:r>
    </w:p>
    <w:p>
      <w:r>
        <w:t>Phase-II-Studie mit 50 transplantationsungeeigneten Myelom-Patienten (Medianalter 73 Jahre): modifizierte Intensität von Lenalidomid, Bortezomib, Dexamethason über 9 Induktions- und 6 Konsolidierungszyklen, Mediannachverfolgung 72 Monate.</w:t>
      </w:r>
    </w:p>
    <w:p>
      <w:r>
        <w:rPr>
          <w:b/>
        </w:rPr>
        <w:t xml:space="preserve">Ergebnis: </w:t>
      </w:r>
      <w:r>
        <w:t>ORR 90%, ≥VGPR 66%. Median-PFS 42 Monate (5-Jahres-PFS 40%), Median-OS 76 Monate (5-Jahres-OS 63%). ECOG-Status 2 assoziiert mit schlechterer PFS und OS. Nur 4% Therapieabbau wegen Toxizität, keine behandlungsbedingte Mortalität.</w:t>
      </w:r>
    </w:p>
    <w:p>
      <w:r>
        <w:rPr>
          <w:b/>
          <w:sz w:val="19"/>
        </w:rPr>
        <w:t xml:space="preserve">Übertragbarkeit: </w:t>
      </w:r>
      <w:r>
        <w:rPr>
          <w:sz w:val="19"/>
        </w:rPr>
        <w:t>US-akademisches Zentrum, aber Outcome-Daten für deutschsprachige Praxen relevant</w:t>
      </w:r>
    </w:p>
    <w:p>
      <w:r>
        <w:rPr>
          <w:color w:val="5A7D3A"/>
          <w:sz w:val="18"/>
        </w:rPr>
        <w:t>https://pubmed.ncbi.nlm.nih.gov/42832368/</w:t>
      </w:r>
    </w:p>
    <w:p>
      <w:pPr>
        <w:pStyle w:val="Heading2"/>
      </w:pPr>
      <w:r>
        <w:t>Finanzielle Anreize fördern Rauchstopp bei Lungenkrebsscreening</w:t>
      </w:r>
    </w:p>
    <w:p>
      <w:r>
        <w:rPr>
          <w:i/>
          <w:color w:val="666666"/>
          <w:sz w:val="18"/>
        </w:rPr>
        <w:t>Hart JL et al.  ·  JAMA  ·  05.10.2026  ·  PMID 42832220</w:t>
      </w:r>
    </w:p>
    <w:p>
      <w:r>
        <w:t>Randomisierte Studie mit 3.220 unterversorgten Rauchern beim Lungenkrebsscreening in USA: vier Strategien verglichen – Standardberatung, plus freie Pharmakotherapie, plus finanzielle Anreize bis 600 USD, plus mobile Health-App.</w:t>
      </w:r>
    </w:p>
    <w:p>
      <w:r>
        <w:rPr>
          <w:b/>
        </w:rPr>
        <w:t xml:space="preserve">Ergebnis: </w:t>
      </w:r>
      <w:r>
        <w:t>Sustained Abstinenz über 6 Monate: 4,3% (Standardberatung), 5,1% (Pharmaka), 8,8% (Anreize), 7,2% (Anreize+App). Anreize zeigten adjustierte Differenz von +4,6% gegenüber Standard (p&lt;0,001) und +4,1% gegenüber Standard+Pharmaka (p&lt;0,001). Freie Medikation allein war nicht überlegen.</w:t>
      </w:r>
    </w:p>
    <w:p>
      <w:r>
        <w:rPr>
          <w:b/>
          <w:sz w:val="19"/>
        </w:rPr>
        <w:t xml:space="preserve">Übertragbarkeit: </w:t>
      </w:r>
      <w:r>
        <w:rPr>
          <w:sz w:val="19"/>
        </w:rPr>
        <w:t>USA-System mit anderer Krankenversicherung, aber Befund zu Anreizmechanismen gesundheitssystemübergreifend relevant</w:t>
      </w:r>
    </w:p>
    <w:p>
      <w:r>
        <w:rPr>
          <w:color w:val="5A7D3A"/>
          <w:sz w:val="18"/>
        </w:rPr>
        <w:t>https://pubmed.ncbi.nlm.nih.gov/42832220/</w:t>
      </w:r>
    </w:p>
    <w:p>
      <w:pPr>
        <w:pStyle w:val="Heading2"/>
      </w:pPr>
      <w:r>
        <w:t>Sequenzierung von Regorafenib vor Anti-EGFR ist möglich – Studie aber unterbesetzt</w:t>
      </w:r>
    </w:p>
    <w:p>
      <w:r>
        <w:rPr>
          <w:i/>
          <w:color w:val="666666"/>
          <w:sz w:val="18"/>
        </w:rPr>
        <w:t>Abidoye OB et al.  ·  Oncologist  ·  03.10.2026  ·  PMID 42830449</w:t>
      </w:r>
    </w:p>
    <w:p>
      <w:r>
        <w:t>Phase-II-Randomisierungsstudie REVERCE II mit 22 Patienten mit RAS/BRAF-WT metastasiertem Kolorektalkarzinom nach Standardchemotherapie: Regorafenib → Anti-EGFR versus Anti-EGFR → Regorafenib sequenziell, primärer Endpunkt Gesamtüberleben.</w:t>
      </w:r>
    </w:p>
    <w:p>
      <w:r>
        <w:rPr>
          <w:b/>
        </w:rPr>
        <w:t xml:space="preserve">Ergebnis: </w:t>
      </w:r>
      <w:r>
        <w:t>Wegen langsamer Rekrutierung vorzeitig geschlossen. Median-OS: Regorafenib-First 21,9 vs. EGFR-First 13,3 Monate (einseitig p=0,114). PFS1 2,5 vs. 5,6 Monate (p=0,998), PFS2 3,7 vs. 2,0 Monate (p=0,086). Regorafenib-First zeigte numerischen OS-Vorteil ohne Signifikanz. Keine wesentlichen Unterschiede in Nebenwirkungen.</w:t>
      </w:r>
    </w:p>
    <w:p>
      <w:r>
        <w:rPr>
          <w:b/>
          <w:sz w:val="19"/>
        </w:rPr>
        <w:t xml:space="preserve">Übertragbarkeit: </w:t>
      </w:r>
      <w:r>
        <w:rPr>
          <w:sz w:val="19"/>
        </w:rPr>
        <w:t>USA-amerikanische Studie, unterbesetzt, aber Sequenzierungsfrage für deutsche Praxen relevant</w:t>
      </w:r>
    </w:p>
    <w:p>
      <w:r>
        <w:rPr>
          <w:color w:val="5A7D3A"/>
          <w:sz w:val="18"/>
        </w:rPr>
        <w:t>https://pubmed.ncbi.nlm.nih.gov/42830449/</w:t>
      </w:r>
    </w:p>
    <w:p>
      <w:pPr>
        <w:pStyle w:val="Heading2"/>
      </w:pPr>
      <w:r>
        <w:t>Molekulares Profiling von Schweißdrüsenkarzinomen identifiziert Therapieziele</w:t>
      </w:r>
    </w:p>
    <w:p>
      <w:r>
        <w:rPr>
          <w:i/>
          <w:color w:val="666666"/>
          <w:sz w:val="18"/>
        </w:rPr>
        <w:t>Racz L et al.  ·  Eur J Cancer  ·  16.10.2026  ·  PMID 42762558</w:t>
      </w:r>
    </w:p>
    <w:p>
      <w:r>
        <w:t>Narrative Übersicht über genetische Landschaft von über 20 seltenen Schweißdrüsenkarzinom-Entitäten (SGC) mit Fokus auf Mutationslandschaften und therapeutische Angriffspunkte für aggressive Tumoren ohne Therapieoptionen im fortgeschrittenen Stadium.</w:t>
      </w:r>
    </w:p>
    <w:p>
      <w:r>
        <w:rPr>
          <w:b/>
        </w:rPr>
        <w:t xml:space="preserve">Ergebnis: </w:t>
      </w:r>
      <w:r>
        <w:t>SGCs zeigen hohe Mutationslast, UV-induzierte DNA-Schädigungssignaturen, EGFR-Dysregulation, Defekte in Homolog-Rekombinations-Reparatur. Rezidivierende Alterationen in TP53, PIK3CA, CDKN2A/B identifiziert. Fusionsgene teilweise entitätsspezifisch; digital-papilläres Adenokarzinom einziges HPV42-getriebenes SGC. Empfehlung: umfassendes molekulares Profiling + Systemregistern für seltene Krebsarten.</w:t>
      </w:r>
    </w:p>
    <w:p>
      <w:r>
        <w:rPr>
          <w:b/>
          <w:sz w:val="19"/>
        </w:rPr>
        <w:t xml:space="preserve">Übertragbarkeit: </w:t>
      </w:r>
      <w:r>
        <w:rPr>
          <w:sz w:val="19"/>
        </w:rPr>
        <w:t>Deutsche und europäische Autor:innen, deutschsprachige Zentren einbezogen, gültig für Zertifizierungsanforderungen</w:t>
      </w:r>
    </w:p>
    <w:p>
      <w:r>
        <w:rPr>
          <w:color w:val="5A7D3A"/>
          <w:sz w:val="18"/>
        </w:rPr>
        <w:t>https://pubmed.ncbi.nlm.nih.gov/42762558/</w:t>
      </w:r>
    </w:p>
    <w:p>
      <w:pPr>
        <w:pStyle w:val="Heading1"/>
      </w:pPr>
      <w:r>
        <w:t>Aufgenommen am 05.10.2026</w:t>
      </w:r>
    </w:p>
    <w:p>
      <w:pPr>
        <w:pStyle w:val="Heading2"/>
      </w:pPr>
      <w:r>
        <w:t>3D-DNA-Architektur in IDH1- und DNMT3A-mutanter AML identifiziert IGF1R- und MAPK-Vulnerabilität</w:t>
      </w:r>
    </w:p>
    <w:p>
      <w:r>
        <w:rPr>
          <w:i/>
          <w:color w:val="666666"/>
          <w:sz w:val="18"/>
        </w:rPr>
        <w:t>Steinhäuser S et al.  ·  Leukemia  ·  01.10.2026  ·  PMID 42823507</w:t>
      </w:r>
    </w:p>
    <w:p>
      <w:r>
        <w:t>Deutsche Studie an Primärproben von AML-Patienten, die mutations-spezifische Veränderungen der 3D-Genom-Architektur analysierte und damit verbundene therapeutische Targets identifizierte.</w:t>
      </w:r>
    </w:p>
    <w:p>
      <w:r>
        <w:rPr>
          <w:b/>
        </w:rPr>
        <w:t xml:space="preserve">Ergebnis: </w:t>
      </w:r>
      <w:r>
        <w:t>IDH1-mutante AML zeigte Sensitivität gegen IGF1R-Inhibitor BMS-754807, DNMT3A-mutante AML gegen p38/MAPK-Inhibitor ralimetinib. Die 3D-DNA-Konformationsveränderungen waren spezifisch für die Mutationen und wurden in Zelllinien und Patientenproben bestätigt.</w:t>
      </w:r>
    </w:p>
    <w:p>
      <w:r>
        <w:rPr>
          <w:b/>
          <w:sz w:val="19"/>
        </w:rPr>
        <w:t xml:space="preserve">Übertragbarkeit: </w:t>
      </w:r>
      <w:r>
        <w:rPr>
          <w:sz w:val="19"/>
        </w:rPr>
        <w:t>Deutsche Universitätsklinika (Kiel, Dresden, Berlin), identifiziert Therapieoptionen für AML-Subtypen</w:t>
      </w:r>
    </w:p>
    <w:p>
      <w:r>
        <w:rPr>
          <w:color w:val="5A7D3A"/>
          <w:sz w:val="18"/>
        </w:rPr>
        <w:t>https://pubmed.ncbi.nlm.nih.gov/42823507/</w:t>
      </w:r>
    </w:p>
    <w:p>
      <w:pPr>
        <w:pStyle w:val="Heading2"/>
      </w:pPr>
      <w:r>
        <w:t>Rassische Disparitäten in der Behandlung von Myelom-Knochenschaden: Afroamerikaner erhalten weniger BMAs</w:t>
      </w:r>
    </w:p>
    <w:p>
      <w:r>
        <w:rPr>
          <w:i/>
          <w:color w:val="666666"/>
          <w:sz w:val="18"/>
        </w:rPr>
        <w:t>Irimia RM et al.  ·  JCO Oncol Pract  ·  01.10.2026  ·  PMID 42821828</w:t>
      </w:r>
    </w:p>
    <w:p>
      <w:r>
        <w:t>Retrospektive Kohortenstudie an 350 neu diagnostizierten Myelompatienten (149 Afroamerikaner, 201 Weiße) zum Vergleich von Knochenereignissen und knochenmodifizierender Therapie im ersten Jahr nach Diagnose.</w:t>
      </w:r>
    </w:p>
    <w:p>
      <w:r>
        <w:rPr>
          <w:b/>
        </w:rPr>
        <w:t xml:space="preserve">Ergebnis: </w:t>
      </w:r>
      <w:r>
        <w:t>Afroamerikaner erhielten im ersten Jahr signifikant weniger knochenmodifizierende Agenzien (BMA): 64% vs. 77% (p=0,013), Mediandosen 5 vs. 7/Jahr (p&lt;0,001). Bei frühen Knochenereignissen (&lt;peridiagnostisch) waren Afroamerikaner weniger wahrscheinlich, ≥4 BMA-Dosen zu erhalten (46% vs. 76%, p&lt;0,001). Kumulatives SRE-Risiko post-peridiagnostisch unterschied sich nicht (16% vs. 21%, p=0,24).</w:t>
      </w:r>
    </w:p>
    <w:p>
      <w:r>
        <w:rPr>
          <w:b/>
          <w:sz w:val="19"/>
        </w:rPr>
        <w:t xml:space="preserve">Übertragbarkeit: </w:t>
      </w:r>
      <w:r>
        <w:rPr>
          <w:sz w:val="19"/>
        </w:rPr>
        <w:t>USA-Zentren, aber Erkenntnis zu Therapiedisparitäten und Unterbehandlung relevant für deutsche Versorgungsqualität</w:t>
      </w:r>
    </w:p>
    <w:p>
      <w:r>
        <w:rPr>
          <w:color w:val="5A7D3A"/>
          <w:sz w:val="18"/>
        </w:rPr>
        <w:t>https://pubmed.ncbi.nlm.nih.gov/42821828/</w:t>
      </w:r>
    </w:p>
    <w:p>
      <w:pPr>
        <w:pStyle w:val="Heading2"/>
      </w:pPr>
      <w:r>
        <w:t>Nivolumab + Ipilimumab + Strahlentherapie in mikrosatellit-stabiler CRC: ORR 10%, aber 25% bei Patienten ohne Lebermetastasen</w:t>
      </w:r>
    </w:p>
    <w:p>
      <w:r>
        <w:rPr>
          <w:i/>
          <w:color w:val="666666"/>
          <w:sz w:val="18"/>
        </w:rPr>
        <w:t>Pappas L et al.  ·  Clin Cancer Res  ·  01.10.2026  ·  PMID 42820689</w:t>
      </w:r>
    </w:p>
    <w:p>
      <w:r>
        <w:t>US-amerikanische Phase-II-Studie zur Kombination von Immune-Checkpoint-Inhibitoren mit nicht-ablativer Strahlentherapie bei refraktärer mikrosatellit-stabiler metastasierter CRC.</w:t>
      </w:r>
    </w:p>
    <w:p>
      <w:r>
        <w:rPr>
          <w:b/>
        </w:rPr>
        <w:t xml:space="preserve">Ergebnis: </w:t>
      </w:r>
      <w:r>
        <w:t>30 Patienten eingeschlossen: Gesamtansprechrate 10,0%, Krankheitskontrollrate 33,3% (unbestrahlte Läsionen). Bei Patienten ohne aktive Lebermetastasen (n=8) ORR 25%, bei Lebermetastasen (n=22) ORR 4,6%. Mediane PFS 2,4 Monate, mediane OS 12,8 Monate (95% KI 6,8–17,9). Nur 10% Grad-4-Toxizität (Lymphopenie).</w:t>
      </w:r>
    </w:p>
    <w:p>
      <w:r>
        <w:rPr>
          <w:b/>
          <w:sz w:val="19"/>
        </w:rPr>
        <w:t xml:space="preserve">Übertragbarkeit: </w:t>
      </w:r>
      <w:r>
        <w:rPr>
          <w:sz w:val="19"/>
        </w:rPr>
        <w:t>USA-Zentren, Mechanismus (Strahlentherapie + ICI) auf deutsche Zentren übertragbar</w:t>
      </w:r>
    </w:p>
    <w:p>
      <w:r>
        <w:rPr>
          <w:color w:val="5A7D3A"/>
          <w:sz w:val="18"/>
        </w:rPr>
        <w:t>https://pubmed.ncbi.nlm.nih.gov/42820689/</w:t>
      </w:r>
    </w:p>
    <w:p>
      <w:pPr>
        <w:pStyle w:val="Heading2"/>
      </w:pPr>
      <w:r>
        <w:t>TROP2-ADC F0024 in triple-negativer Brustkrebs: ORR 37,9% bei 10 mg/kg, mediane PFS 10,5 Monate</w:t>
      </w:r>
    </w:p>
    <w:p>
      <w:r>
        <w:rPr>
          <w:i/>
          <w:color w:val="666666"/>
          <w:sz w:val="18"/>
        </w:rPr>
        <w:t>Du Y et al.  ·  Eur J Cancer  ·  24.09.2026  ·  PMID 42810148</w:t>
      </w:r>
    </w:p>
    <w:p>
      <w:r>
        <w:t>Phase-I-Studie mit Dosisexpansion eines TROP2-gerichteten Antikörper-Wirkstoff-Konjugats in fortgeschrittenen Tumoren, Fokus triple-negative Brustkrebs (TNBC).</w:t>
      </w:r>
    </w:p>
    <w:p>
      <w:r>
        <w:rPr>
          <w:b/>
        </w:rPr>
        <w:t xml:space="preserve">Ergebnis: </w:t>
      </w:r>
      <w:r>
        <w:t>Bei 10 mg/kg (empfohlene Phase-II-Dosis): ORR 37,9%, mediane PFS 10,5 Monate in TNBC-Kohorte (n=29). Grad-≥3-Nebenwirkungen bei 57,7% (vorwiegend Hämatotoxizität). Dosiseskalation bei 15 mg/kg wegen kumulativer Toxizität gestoppt.</w:t>
      </w:r>
    </w:p>
    <w:p>
      <w:r>
        <w:rPr>
          <w:b/>
          <w:sz w:val="19"/>
        </w:rPr>
        <w:t xml:space="preserve">Übertragbarkeit: </w:t>
      </w:r>
      <w:r>
        <w:rPr>
          <w:sz w:val="19"/>
        </w:rPr>
        <w:t>China, aber Wirkmuster und Sicherheitsprofil für Phase-II-Planung international relevant</w:t>
      </w:r>
    </w:p>
    <w:p>
      <w:r>
        <w:rPr>
          <w:color w:val="5A7D3A"/>
          <w:sz w:val="18"/>
        </w:rPr>
        <w:t>https://pubmed.ncbi.nlm.nih.gov/42810148/</w:t>
      </w:r>
    </w:p>
    <w:p>
      <w:pPr>
        <w:pStyle w:val="Heading2"/>
      </w:pPr>
      <w:r>
        <w:t>Zugang zu klinischen Studien bei Nierenzellkarzinom: Innovation erreicht unterversorgte Gemeinschaften nicht</w:t>
      </w:r>
    </w:p>
    <w:p>
      <w:r>
        <w:rPr>
          <w:i/>
          <w:color w:val="666666"/>
          <w:sz w:val="18"/>
        </w:rPr>
        <w:t>Nandakumar V et al.  ·  JCO Oncol Pract  ·  29.09.2026  ·  PMID 42809806</w:t>
      </w:r>
    </w:p>
    <w:p>
      <w:r>
        <w:t>Qualitative Analyse der Barrieren für den Zugang zu klinischen Studien bei Nierenzellkarzinom in den USA, mit Fokus auf strukturelle und sozioökonomische Ungleichheiten.</w:t>
      </w:r>
    </w:p>
    <w:p>
      <w:r>
        <w:rPr>
          <w:b/>
        </w:rPr>
        <w:t xml:space="preserve">Ergebnis: </w:t>
      </w:r>
      <w:r>
        <w:t>Identifizierte Schlüsselbarrieren: geografische Distanz, finanzielle Belastung, mangelnde Informationen, Transportprobleme und systeminterne Aufnahmekriterien. Unterrepräsentierte Patienten hatten deutlich niedrigere Teilnahmeraten. Patienten in ländlichen Gegenden und mit niedrigerem Einkommen waren systematisch ausgeschlossen.</w:t>
      </w:r>
    </w:p>
    <w:p>
      <w:r>
        <w:rPr>
          <w:b/>
          <w:sz w:val="19"/>
        </w:rPr>
        <w:t xml:space="preserve">Übertragbarkeit: </w:t>
      </w:r>
      <w:r>
        <w:rPr>
          <w:sz w:val="19"/>
        </w:rPr>
        <w:t>USA-System, aber Erkenntnisse zu Zugangsungleichheiten gelten teilweise für deutsche Versorgungsregionen</w:t>
      </w:r>
    </w:p>
    <w:p>
      <w:r>
        <w:rPr>
          <w:color w:val="5A7D3A"/>
          <w:sz w:val="18"/>
        </w:rPr>
        <w:t>https://pubmed.ncbi.nlm.nih.gov/42809806/</w:t>
      </w:r>
    </w:p>
    <w:p>
      <w:pPr>
        <w:pStyle w:val="Heading2"/>
      </w:pPr>
      <w:r>
        <w:t>Sentinelbiopsie nach Neoadjuvanz bei lokal fortgeschrittener Brustkrebs: Falsch-negativ-Rate 2,1%</w:t>
      </w:r>
    </w:p>
    <w:p>
      <w:r>
        <w:rPr>
          <w:i/>
          <w:color w:val="666666"/>
          <w:sz w:val="18"/>
        </w:rPr>
        <w:t>Barrio AV et al.  ·  J Clin Oncol  ·  29.09.2026  ·  PMID 42809799</w:t>
      </w:r>
    </w:p>
    <w:p>
      <w:r>
        <w:t>Prospektive US-amerikanische Studie zum Staging der Axilla mittels Sentinelbiopsie nach neoadjuvanter Chemotherapie bei Patientinnen mit lokal fortgeschrittenem Brustkrebs (cT4/cN2-N3).</w:t>
      </w:r>
    </w:p>
    <w:p>
      <w:r>
        <w:rPr>
          <w:b/>
        </w:rPr>
        <w:t xml:space="preserve">Ergebnis: </w:t>
      </w:r>
      <w:r>
        <w:t>Von 145 Patienten wurden 87 mit adäquatem Mapping ausgewertet; Sentinelknoten wurden in 74% identifiziert. Falsch-negativ-Rate 2,1% (95% KI 0,1–12,7%), pathologische komplette Response 46%, nur 1 falsch-negativ in 47 Patienten mit Resterkrankung.</w:t>
      </w:r>
    </w:p>
    <w:p>
      <w:r>
        <w:rPr>
          <w:b/>
          <w:sz w:val="19"/>
        </w:rPr>
        <w:t xml:space="preserve">Übertragbarkeit: </w:t>
      </w:r>
      <w:r>
        <w:rPr>
          <w:sz w:val="19"/>
        </w:rPr>
        <w:t>USA-Zentren, aber Sentinelbiopsie-Standard übertragbar auf deutsche Zentren</w:t>
      </w:r>
    </w:p>
    <w:p>
      <w:r>
        <w:rPr>
          <w:color w:val="5A7D3A"/>
          <w:sz w:val="18"/>
        </w:rPr>
        <w:t>https://pubmed.ncbi.nlm.nih.gov/42809799/</w:t>
      </w:r>
    </w:p>
    <w:p>
      <w:pPr>
        <w:pStyle w:val="Heading1"/>
      </w:pPr>
      <w:r>
        <w:t>Aufgenommen am 04.10.2026</w:t>
      </w:r>
    </w:p>
    <w:p>
      <w:pPr>
        <w:pStyle w:val="Heading2"/>
      </w:pPr>
      <w:r>
        <w:t>Urin-cfRNA detektiert Blasenkrebs mit 95% Sensitivität, sagt BCG-Response voraus</w:t>
      </w:r>
    </w:p>
    <w:p>
      <w:r>
        <w:rPr>
          <w:i/>
          <w:color w:val="666666"/>
          <w:sz w:val="18"/>
        </w:rPr>
        <w:t>Liu KJ et al.  ·  Nat Med  ·  02.10.2026  ·  PMID 42827132</w:t>
      </w:r>
    </w:p>
    <w:p>
      <w:r>
        <w:t>Prospektive Validierungsstudie einer Liquid-Biopsy-Methode (uRARE-seq) für tumorspezifische RNA-Fragmente im Urin bei 683 Patienten mit und ohne Urogenital-Karzinome.</w:t>
      </w:r>
    </w:p>
    <w:p>
      <w:r>
        <w:rPr>
          <w:b/>
        </w:rPr>
        <w:t xml:space="preserve">Ergebnis: </w:t>
      </w:r>
      <w:r>
        <w:t>Für lokalisiertes Blasenkarzinom: 95% Sensitivität bei 90% Spezifität. Urin-cfRNA übertraf tumor-DNA-Analyse und war unaffiziert von Feldeffekt-Mutationen. Biomarker in Urin vor BCG-Therapie (Area-under-the-Curve 0,93) sagte BCG-Response voraus: Responder zeigten T-Zell- und Immun-Signaturen, Nicht-Responder Proliferations-Gene. Minimal Residual Disease wurde sensitiv detektiert. Ein Ansatz mit klinischem Nutzenpotential für Blasenkarzinom-Stratifizierung.</w:t>
      </w:r>
    </w:p>
    <w:p>
      <w:r>
        <w:rPr>
          <w:b/>
          <w:sz w:val="19"/>
        </w:rPr>
        <w:t xml:space="preserve">Übertragbarkeit: </w:t>
      </w:r>
      <w:r>
        <w:rPr>
          <w:sz w:val="19"/>
        </w:rPr>
        <w:t>USA-basierte Studie; Liquid-Biopsy-Methode technisch übertragbar, prospektive Validierung erforderlich.</w:t>
      </w:r>
    </w:p>
    <w:p>
      <w:r>
        <w:rPr>
          <w:color w:val="5A7D3A"/>
          <w:sz w:val="18"/>
        </w:rPr>
        <w:t>https://pubmed.ncbi.nlm.nih.gov/42827132/</w:t>
      </w:r>
    </w:p>
    <w:p>
      <w:pPr>
        <w:pStyle w:val="Heading2"/>
      </w:pPr>
      <w:r>
        <w:t>Ibrutinib-Venetoclax senkt Gesamtüberleben bei älteren CLL-Patienten deutlich</w:t>
      </w:r>
    </w:p>
    <w:p>
      <w:r>
        <w:rPr>
          <w:i/>
          <w:color w:val="666666"/>
          <w:sz w:val="18"/>
        </w:rPr>
        <w:t>U Niemann C et al.  ·  Leukemia  ·  02.10.2026  ·  PMID 42827117</w:t>
      </w:r>
    </w:p>
    <w:p>
      <w:r>
        <w:t>Randomisierte Phase-III-Studie (GLOW) verglich Ibrutinib-Venetoclax mit Chlorambucil-Obinutuzumab bei älteren/komorbiditätsbelasteten CLL-Patienten mit 67-Monat-Nachverfolgung.</w:t>
      </w:r>
    </w:p>
    <w:p>
      <w:r>
        <w:rPr>
          <w:b/>
        </w:rPr>
        <w:t xml:space="preserve">Ergebnis: </w:t>
      </w:r>
      <w:r>
        <w:t>Gesamtüberleben nach 66 Monaten: 79,0% vs 60,8% (Hazard Ratio 0,46). Ibrutinib-Venetoclax reduzierte das Risiko für Zweitlinientherapie um 77,4%. Progressionsfreies Überleben nach 66 Monaten: 51,7% vs 18,1% (HR 0,27). Grade-3/4-toxizitätsfreies PFS 21,4 Monate länger (51,6 vs 30,2 Monate). Eine klare Überlegenheit für die fixierte Zweierkombination bei älteren Patienten.</w:t>
      </w:r>
    </w:p>
    <w:p>
      <w:r>
        <w:rPr>
          <w:b/>
          <w:sz w:val="19"/>
        </w:rPr>
        <w:t xml:space="preserve">Übertragbarkeit: </w:t>
      </w:r>
      <w:r>
        <w:rPr>
          <w:sz w:val="19"/>
        </w:rPr>
        <w:t>Europäische Multicenterstudie mit HOVON-Zentren, deutschem Versorgungsstandard entsprechend.</w:t>
      </w:r>
    </w:p>
    <w:p>
      <w:r>
        <w:rPr>
          <w:color w:val="5A7D3A"/>
          <w:sz w:val="18"/>
        </w:rPr>
        <w:t>https://pubmed.ncbi.nlm.nih.gov/42827117/</w:t>
      </w:r>
    </w:p>
    <w:p>
      <w:pPr>
        <w:pStyle w:val="Heading2"/>
      </w:pPr>
      <w:r>
        <w:t>Chemotherapie + Krebsimpfstoff: TCF1+-T-Zellen erklären synergistischen Effekt</w:t>
      </w:r>
    </w:p>
    <w:p>
      <w:r>
        <w:rPr>
          <w:i/>
          <w:color w:val="666666"/>
          <w:sz w:val="18"/>
        </w:rPr>
        <w:t>Noblecourt L et al.  ·  Cancer Cell  ·  02.10.2026  ·  PMID 42826713</w:t>
      </w:r>
    </w:p>
    <w:p>
      <w:r>
        <w:t>Präklinische und erste translatorische Studie zur mechanistischen Erklärung, warum Carboplatin-Paclitaxel und Cyclophosphamid die Effizienz von Virus-Vektor-Impfstoffen gegen Tumorantigen erhöhen; Experimente mit Maus- und Patientenzellen.</w:t>
      </w:r>
    </w:p>
    <w:p>
      <w:r>
        <w:rPr>
          <w:b/>
        </w:rPr>
        <w:t xml:space="preserve">Ergebnis: </w:t>
      </w:r>
      <w:r>
        <w:t>Carboplatin-Paclitaxel induziert frühe, antigen-unabhängige Expansion von Stamm-ähnlichen TCF1+CD8+-T-Zellen. Genetische oder pharmakologische TCF1-Blockierung hebt den Immunaduvans-Effekt auf. Kombinationstriple (Vakzin + CarboTaxol + PD-1-Blockade) verbessert Tumorkon trolle und Überleben in Mausmodellen stärker als Einzelbehandlungen. Der TCF1-abhängige Mechanismus erklärt Synergie und identifiziert neue Kombinationsstrategien für klinische Evaluation.</w:t>
      </w:r>
    </w:p>
    <w:p>
      <w:r>
        <w:rPr>
          <w:b/>
          <w:sz w:val="19"/>
        </w:rPr>
        <w:t xml:space="preserve">Übertragbarkeit: </w:t>
      </w:r>
      <w:r>
        <w:rPr>
          <w:sz w:val="19"/>
        </w:rPr>
        <w:t>UK/Niederlande-Kohorte, mechanistisches Verständnis transkulturell relevant für Impfstoff-Kombinationen.</w:t>
      </w:r>
    </w:p>
    <w:p>
      <w:r>
        <w:rPr>
          <w:color w:val="5A7D3A"/>
          <w:sz w:val="18"/>
        </w:rPr>
        <w:t>https://pubmed.ncbi.nlm.nih.gov/42826713/</w:t>
      </w:r>
    </w:p>
    <w:p>
      <w:pPr>
        <w:pStyle w:val="Heading2"/>
      </w:pPr>
      <w:r>
        <w:t>ERBB2-Mutationen in Lungenkarzinom: Heterogenität und Trastuzumab-Deruxtecan-Benefit</w:t>
      </w:r>
    </w:p>
    <w:p>
      <w:r>
        <w:rPr>
          <w:i/>
          <w:color w:val="666666"/>
          <w:sz w:val="18"/>
        </w:rPr>
        <w:t>Yamashita M et al.  ·  Eur J Cancer  ·  29.09.2026  ·  PMID 42826440</w:t>
      </w:r>
    </w:p>
    <w:p>
      <w:r>
        <w:t>Japanische Real-World-Kohorte von 319 Patienten mit ERBB2-aktivierenden Mutationen im NSCLC mittels Genomik-Datenbank untersucht.</w:t>
      </w:r>
    </w:p>
    <w:p>
      <w:r>
        <w:rPr>
          <w:b/>
        </w:rPr>
        <w:t xml:space="preserve">Ergebnis: </w:t>
      </w:r>
      <w:r>
        <w:t>74% hatten kanonische Tyrosinkinase-Domänen-Insertionen; 26% nonkanonische Varianten (TKD-Missense 8%, transmembran 10%, extrazelluläre Domäne 8%). Co-driver-Alterationen in nur 5,6% (überwiegend nonkanonisch). 27% der 288 Patienten (78 von 288) erhielten Trastuzumab-Deruxtecan; time-abhängige T-DXd-Exposition assoziiert mit reduziertem Mortalitätsrisiko (adjusted HR 0,63; 95% KI 0,39-1,01; p=0,057). Wesentliche molekulare Heterogenität mit therapeutischen Implikationen.</w:t>
      </w:r>
    </w:p>
    <w:p>
      <w:r>
        <w:rPr>
          <w:b/>
          <w:sz w:val="19"/>
        </w:rPr>
        <w:t xml:space="preserve">Übertragbarkeit: </w:t>
      </w:r>
      <w:r>
        <w:rPr>
          <w:sz w:val="19"/>
        </w:rPr>
        <w:t>Japan, vergleichbare Genomik-Strukturen; Trastuzumab-Deruxtecan in Deutschland verfügbar.</w:t>
      </w:r>
    </w:p>
    <w:p>
      <w:r>
        <w:rPr>
          <w:color w:val="5A7D3A"/>
          <w:sz w:val="18"/>
        </w:rPr>
        <w:t>https://pubmed.ncbi.nlm.nih.gov/42826440/</w:t>
      </w:r>
    </w:p>
    <w:p>
      <w:pPr>
        <w:pStyle w:val="Heading2"/>
      </w:pPr>
      <w:r>
        <w:t>Tirabrutinib für rezidivertes primäres ZNS-Lymphom: 67% Ansprechquote, rascher Wirkeintritt</w:t>
      </w:r>
    </w:p>
    <w:p>
      <w:r>
        <w:rPr>
          <w:i/>
          <w:color w:val="666666"/>
          <w:sz w:val="18"/>
        </w:rPr>
        <w:t>Grommes C et al.  ·  Blood  ·  01.10.2026  ·  PMID 42821736</w:t>
      </w:r>
    </w:p>
    <w:p>
      <w:r>
        <w:t>Phase-1b/2-Studie zu dem BTK-Inhibitor Tirabrutinib als Monotherapie bei 48 Patienten mit rezidiviertem/refraktärem pCNSL nach Hochdosis-Methotrexat-Vorbehandlung.</w:t>
      </w:r>
    </w:p>
    <w:p>
      <w:r>
        <w:rPr>
          <w:b/>
        </w:rPr>
        <w:t xml:space="preserve">Ergebnis: </w:t>
      </w:r>
      <w:r>
        <w:t>Objektive Ansprechquote 67% (95% KI 52–80%), vollständige Remission 44% (95% KI 29–59%). Mediane Ansprechdauer 9,3 Monate (95% KI 4,6–14,6), mediane Zeit bis Ansprechen 1,0 Monat. Treatment-related adverse events in 75% (häufig Anämie 19%, Ausschlag 17%, Fatigue 15%), Grade-≥3 in 27% (Neutropenie 8%). Ein behandelbares Toxizitätsprofil für rare Indikation mit hohem ungedecktem Bedarf.</w:t>
      </w:r>
    </w:p>
    <w:p>
      <w:r>
        <w:rPr>
          <w:b/>
          <w:sz w:val="19"/>
        </w:rPr>
        <w:t xml:space="preserve">Übertragbarkeit: </w:t>
      </w:r>
      <w:r>
        <w:rPr>
          <w:sz w:val="19"/>
        </w:rPr>
        <w:t>USA-Studie, BTK-Inhibitor-Klasse europaweit verfügbar; Zentrumserfordernis für pCNSL-Versorgung prüfen.</w:t>
      </w:r>
    </w:p>
    <w:p>
      <w:r>
        <w:rPr>
          <w:color w:val="5A7D3A"/>
          <w:sz w:val="18"/>
        </w:rPr>
        <w:t>https://pubmed.ncbi.nlm.nih.gov/42821736/</w:t>
      </w:r>
    </w:p>
    <w:p>
      <w:pPr>
        <w:pStyle w:val="Heading2"/>
      </w:pPr>
      <w:r>
        <w:t>Leitlinie Multiples Myelom 2026 – kontinuierliche Aktualisierung basierend auf neuer Evidenz</w:t>
      </w:r>
    </w:p>
    <w:p>
      <w:r>
        <w:rPr>
          <w:i/>
          <w:color w:val="666666"/>
          <w:sz w:val="18"/>
        </w:rPr>
        <w:t>Banerjee R et al.  ·  J Clin Oncol  ·  30.09.2026  ·  PMID 42814948</w:t>
      </w:r>
    </w:p>
    <w:p>
      <w:r>
        <w:t>ASCO Living Guideline für Behandlung des Multiplen Myeloms mit regelmäßigen Aktualisierungen durch Expertengruppe bei schnell wechselnder Evidenz.</w:t>
      </w:r>
    </w:p>
    <w:p>
      <w:r>
        <w:rPr>
          <w:b/>
        </w:rPr>
        <w:t xml:space="preserve">Ergebnis: </w:t>
      </w:r>
      <w:r>
        <w:t>Leitlinie wird kontinuierlich aktualisiert; konkrete Therapie-Empfehlungen folgen Systematische-Review-Prozeduren und werden mindestens jährlich überprüft. Die aktuelle Version 2026.1.3 berücksichtigt neue Kombinationsprotokolle, CAR-T und zielgerichtete Therapien mit prognose-adaptiven Strategien für Risiko-Stratifizierung.</w:t>
      </w:r>
    </w:p>
    <w:p>
      <w:r>
        <w:rPr>
          <w:b/>
          <w:sz w:val="19"/>
        </w:rPr>
        <w:t xml:space="preserve">Übertragbarkeit: </w:t>
      </w:r>
      <w:r>
        <w:rPr>
          <w:sz w:val="19"/>
        </w:rPr>
        <w:t>USA-ASCO-Guideline; weit überwiegend international anwendbar, Dosierungen/Verfügbarkeiten lokal zu prüfen.</w:t>
      </w:r>
    </w:p>
    <w:p>
      <w:r>
        <w:rPr>
          <w:color w:val="5A7D3A"/>
          <w:sz w:val="18"/>
        </w:rPr>
        <w:t>https://pubmed.ncbi.nlm.nih.gov/42814948/</w:t>
      </w:r>
    </w:p>
    <w:p>
      <w:pPr>
        <w:pStyle w:val="Heading2"/>
      </w:pPr>
      <w:r>
        <w:t>Aglatimagene bei lokalisiertem Prostatakarzinom: kritische Neubeobachtung</w:t>
      </w:r>
    </w:p>
    <w:p>
      <w:r>
        <w:rPr>
          <w:i/>
          <w:color w:val="666666"/>
          <w:sz w:val="18"/>
        </w:rPr>
        <w:t>Büttner T et al.  ·  Lancet Oncol  ·  Okt. 2026  ·  PMID 42805200</w:t>
      </w:r>
    </w:p>
    <w:p>
      <w:r>
        <w:t>Kommentar deutschsprachiger Urologen zur Neubewertung des Viren-Therapiestoffs Aglatimagene bei lokalisiertem Prostatakarzinom.</w:t>
      </w:r>
    </w:p>
    <w:p>
      <w:r>
        <w:rPr>
          <w:b/>
        </w:rPr>
        <w:t xml:space="preserve">Ergebnis: </w:t>
      </w:r>
      <w:r>
        <w:t>Keine konkreten Endpunkte im Abstract; die Arbeit erörtert Limitationen bisheriger Daten zu einer experimentellen Therapie mit unklarer klinischer Rolle. Die Autoren fordern Klärung vor breiter Anwendung.</w:t>
      </w:r>
    </w:p>
    <w:p>
      <w:r>
        <w:rPr>
          <w:b/>
          <w:sz w:val="19"/>
        </w:rPr>
        <w:t xml:space="preserve">Übertragbarkeit: </w:t>
      </w:r>
      <w:r>
        <w:rPr>
          <w:sz w:val="19"/>
        </w:rPr>
        <w:t>Deutschland (Bonn, Erlangen), deutsches Versorgungssystem betroffen.</w:t>
      </w:r>
    </w:p>
    <w:p>
      <w:r>
        <w:rPr>
          <w:color w:val="5A7D3A"/>
          <w:sz w:val="18"/>
        </w:rPr>
        <w:t>https://pubmed.ncbi.nlm.nih.gov/42805200/</w:t>
      </w:r>
    </w:p>
    <w:p>
      <w:pPr>
        <w:pStyle w:val="Heading1"/>
      </w:pPr>
      <w:r>
        <w:t>Aufgenommen am 03.10.2026</w:t>
      </w:r>
    </w:p>
    <w:p>
      <w:pPr>
        <w:pStyle w:val="Heading2"/>
      </w:pPr>
      <w:r>
        <w:t>Leitlinie Infektionsprophylaxe bei pädiatrischer Onkologie: aktualisierte Empfehlungen</w:t>
      </w:r>
    </w:p>
    <w:p>
      <w:r>
        <w:rPr>
          <w:i/>
          <w:color w:val="666666"/>
          <w:sz w:val="18"/>
        </w:rPr>
        <w:t>Morgan JE et al.  ·  J Clin Oncol  ·  02.10.2026  ·  PMID 42826360</w:t>
      </w:r>
    </w:p>
    <w:p>
      <w:r>
        <w:t>Systematische Überprüfung und Harmonisierung von Leitlinienempfehlungen zur antibakteriellen und antimykotischen Prophylaxe bei Kindern mit Krebs und nach Stammzelltransplantation.</w:t>
      </w:r>
    </w:p>
    <w:p>
      <w:r>
        <w:rPr>
          <w:b/>
        </w:rPr>
        <w:t xml:space="preserve">Ergebnis: </w:t>
      </w:r>
      <w:r>
        <w:t>Starke Empfehlung für Antifungal-Prophylaxe (Echinocandin oder Mold-active Azol) bei AML und allogener Transplantation; konditionale Empfehlung für Antibakteriell-Prophylaxe mit Levofloxacin bei AML und rezidivierter ALL. 13 neue randomisierte Studien seit 2019 identifiziert; insgesamt 195 Studien berücksichtigt.</w:t>
      </w:r>
    </w:p>
    <w:p>
      <w:r>
        <w:rPr>
          <w:b/>
          <w:sz w:val="19"/>
        </w:rPr>
        <w:t xml:space="preserve">Übertragbarkeit: </w:t>
      </w:r>
      <w:r>
        <w:rPr>
          <w:sz w:val="19"/>
        </w:rPr>
        <w:t>Deutschland und europäische Systeme, international konsentiertes Vorgehen</w:t>
      </w:r>
    </w:p>
    <w:p>
      <w:r>
        <w:rPr>
          <w:color w:val="5A7D3A"/>
          <w:sz w:val="18"/>
        </w:rPr>
        <w:t>https://pubmed.ncbi.nlm.nih.gov/42826360/</w:t>
      </w:r>
    </w:p>
    <w:p>
      <w:pPr>
        <w:pStyle w:val="Heading2"/>
      </w:pPr>
      <w:r>
        <w:t>Pembrolizumab-GVD plus Stammzelltransplantation bei rezidiviertem Hodgkin-Lymphom: 5-Jahres-Follow-up</w:t>
      </w:r>
    </w:p>
    <w:p>
      <w:r>
        <w:rPr>
          <w:i/>
          <w:color w:val="666666"/>
          <w:sz w:val="18"/>
        </w:rPr>
        <w:t>Patel K et al.  ·  Blood  ·  08.09.2026  ·  PMID 42825495</w:t>
      </w:r>
    </w:p>
    <w:p>
      <w:r>
        <w:t>Phase-2-Studie bei transplantationsgeeigneten Patienten mit rezidiviertem/refraktärem Hodgkin-Lymphom: Pembrolizumab plus Gemcitabin/Vinorelbine/liposomales Doxorubicin gefolgt von Hochdosis-Chemotherapie mit autologer Stammzellrescue.</w:t>
      </w:r>
    </w:p>
    <w:p>
      <w:r>
        <w:rPr>
          <w:b/>
        </w:rPr>
        <w:t xml:space="preserve">Ergebnis: </w:t>
      </w:r>
      <w:r>
        <w:t>Komplettremissionsrate 95% nach bis zu 4 Zyklen Pembrolizumab-GVD. Nach Median 57 Monaten: geschätzte 5-Jahres-PFS 91%, Gesamtüberleben 94%. Nur 1 Rezidiv nach Protokoll-Therapie, 2 therapieassoziierte Todesfälle. Keine neuen Sicherheitssignale.</w:t>
      </w:r>
    </w:p>
    <w:p>
      <w:r>
        <w:rPr>
          <w:b/>
          <w:sz w:val="19"/>
        </w:rPr>
        <w:t xml:space="preserve">Übertragbarkeit: </w:t>
      </w:r>
      <w:r>
        <w:rPr>
          <w:sz w:val="19"/>
        </w:rPr>
        <w:t>USA-basiert, aber intensive Chemotherapie + Immuntherapie + Transplantation ist in deutschen Zentren etabliert</w:t>
      </w:r>
    </w:p>
    <w:p>
      <w:r>
        <w:rPr>
          <w:color w:val="5A7D3A"/>
          <w:sz w:val="18"/>
        </w:rPr>
        <w:t>https://pubmed.ncbi.nlm.nih.gov/42825495/</w:t>
      </w:r>
    </w:p>
    <w:p>
      <w:pPr>
        <w:pStyle w:val="Heading2"/>
      </w:pPr>
      <w:r>
        <w:t>Tuberkulose-Netzwerk als Werkzeug für frühe Lungenkrebserkennung: Modell Brasilien</w:t>
      </w:r>
    </w:p>
    <w:p>
      <w:r>
        <w:rPr>
          <w:i/>
          <w:color w:val="666666"/>
          <w:sz w:val="18"/>
        </w:rPr>
        <w:t>Gruber K  ·  Lancet Oncol  ·  01.10.2026  ·  PMID 42822486</w:t>
      </w:r>
    </w:p>
    <w:p>
      <w:r>
        <w:t>Bericht über das Potenzial, bestehende Tuberkulose-Überwachungssysteme in Brasilien für die Frühdiagnose von Lungenkrebs zu nutzen.</w:t>
      </w:r>
    </w:p>
    <w:p>
      <w:r>
        <w:rPr>
          <w:b/>
        </w:rPr>
        <w:t xml:space="preserve">Ergebnis: </w:t>
      </w:r>
      <w:r>
        <w:t>TB-Netzwerk mit etablierten Screening- und Diagnostik-Strukturen könnte Lungenkrebserkennung beschleunigen; bisherige Aktivitäten und Barrieren werden erörtert, ohne quantitative Endpunkte.</w:t>
      </w:r>
    </w:p>
    <w:p>
      <w:r>
        <w:rPr>
          <w:b/>
          <w:sz w:val="19"/>
        </w:rPr>
        <w:t xml:space="preserve">Übertragbarkeit: </w:t>
      </w:r>
      <w:r>
        <w:rPr>
          <w:sz w:val="19"/>
        </w:rPr>
        <w:t>Niedrig-Ressourcen-Länder, für Deutschland ohne unmittelbare Anwendung</w:t>
      </w:r>
    </w:p>
    <w:p>
      <w:r>
        <w:rPr>
          <w:color w:val="5A7D3A"/>
          <w:sz w:val="18"/>
        </w:rPr>
        <w:t>https://pubmed.ncbi.nlm.nih.gov/42822486/</w:t>
      </w:r>
    </w:p>
    <w:p>
      <w:pPr>
        <w:pStyle w:val="Heading2"/>
      </w:pPr>
      <w:r>
        <w:t>Androgen-Rezeptor-Inhibitoren bessern PFS bei metastasiertem hormonsensitivem Prostatakarzinom</w:t>
      </w:r>
    </w:p>
    <w:p>
      <w:r>
        <w:rPr>
          <w:i/>
          <w:color w:val="666666"/>
          <w:sz w:val="18"/>
        </w:rPr>
        <w:t>Nwogu IB et al.  ·  JCO Oncol Pract  ·  01.10.2026  ·  PMID 42821836</w:t>
      </w:r>
    </w:p>
    <w:p>
      <w:r>
        <w:t>Real-World-Vergleichsstudie von Abiraterone, Apalutamide, Enzalutamide und Docetaxel je mit ADT bei metastasiertem hormonsensitivem Prostatakarzinom (mHSPC) in den USA 2019–2023.</w:t>
      </w:r>
    </w:p>
    <w:p>
      <w:r>
        <w:rPr>
          <w:b/>
        </w:rPr>
        <w:t xml:space="preserve">Ergebnis: </w:t>
      </w:r>
      <w:r>
        <w:t>Unter 9.141 Männern: ARPI-Dubletten zeigten gegenüber Docetaxel-Dubletten überlegene PFS (Abiraterone: aHR 0,60 [95% CI 0,55–0,66]; Apalutamide: aHR 0,64; Enzalutamide: aHR 0,57). Gesamtüberleben vergleichbar. TTP und Zeit bis neue Therapie ebenfalls besser unter ARPIs. Keine Unterschiede zwischen den ARPIs.</w:t>
      </w:r>
    </w:p>
    <w:p>
      <w:r>
        <w:rPr>
          <w:b/>
          <w:sz w:val="19"/>
        </w:rPr>
        <w:t xml:space="preserve">Übertragbarkeit: </w:t>
      </w:r>
      <w:r>
        <w:rPr>
          <w:sz w:val="19"/>
        </w:rPr>
        <w:t>USA-Gesundheitssystem mit unterschiedlicher Finanzierung, Ergebnis (ARPI-Überlegenheit) ist aber geräteunabhängig übertragbar</w:t>
      </w:r>
    </w:p>
    <w:p>
      <w:r>
        <w:rPr>
          <w:color w:val="5A7D3A"/>
          <w:sz w:val="18"/>
        </w:rPr>
        <w:t>https://pubmed.ncbi.nlm.nih.gov/42821836/</w:t>
      </w:r>
    </w:p>
    <w:p>
      <w:pPr>
        <w:pStyle w:val="Heading2"/>
      </w:pPr>
      <w:r>
        <w:t>Platinchemoresistentes Ovarialkarzinom: Behandlungsintensivierung verbessert Remissionsraten</w:t>
      </w:r>
    </w:p>
    <w:p>
      <w:r>
        <w:rPr>
          <w:i/>
          <w:color w:val="666666"/>
          <w:sz w:val="18"/>
        </w:rPr>
        <w:t>You B et al.  ·  JAMA Oncol  ·  01.10.2026  ·  PMID 42821287</w:t>
      </w:r>
    </w:p>
    <w:p>
      <w:r>
        <w:t>Systematische Übersicht über Strategien zur Chemosensitivierung bei schlecht chemosensitivem fortgeschrittenem serösen Ovarialkarzinom anhand von retrospektiven Post-hoc-Analysen prospektiver Phase-3-Studien.</w:t>
      </w:r>
    </w:p>
    <w:p>
      <w:r>
        <w:rPr>
          <w:b/>
        </w:rPr>
        <w:t xml:space="preserve">Ergebnis: </w:t>
      </w:r>
      <w:r>
        <w:t>Wöchentlich dosiertes Paclitaxel zeigte in der "2 red flags"-Subgruppe (schlechte Chemosensitivität) der ICON-8-Studie verbesserte Überlebensergebnisse. Bevacizumab addiert zu neoadjuvanter Chemotherapie oder Standardchemotherapie: Überlebenssignale in hochrisiko- und schlecht chemosensitiven Subgruppen. Phase-3-Studien SALVOVAR und Phase-1/2-Studie RegeNovar laufen prospektiv.</w:t>
      </w:r>
    </w:p>
    <w:p>
      <w:r>
        <w:rPr>
          <w:b/>
          <w:sz w:val="19"/>
        </w:rPr>
        <w:t xml:space="preserve">Übertragbarkeit: </w:t>
      </w:r>
      <w:r>
        <w:rPr>
          <w:sz w:val="19"/>
        </w:rPr>
        <w:t>Europäische Studienstandorte und ESMO-Guidelines, Therapiesequenzierung in deutschen Tumorzentren relevant</w:t>
      </w:r>
    </w:p>
    <w:p>
      <w:r>
        <w:rPr>
          <w:color w:val="5A7D3A"/>
          <w:sz w:val="18"/>
        </w:rPr>
        <w:t>https://pubmed.ncbi.nlm.nih.gov/42821287/</w:t>
      </w:r>
    </w:p>
    <w:p>
      <w:pPr>
        <w:pStyle w:val="Heading2"/>
      </w:pPr>
      <w:r>
        <w:t>Genomische Instabilität treibt gegensätzliche Immunantworten: Mechanismus für Immuntherapie-Resistenz</w:t>
      </w:r>
    </w:p>
    <w:p>
      <w:r>
        <w:rPr>
          <w:i/>
          <w:color w:val="666666"/>
          <w:sz w:val="18"/>
        </w:rPr>
        <w:t>Alouani E et al.  ·  Cancer Discov  ·  01.10.2026  ·  PMID 42817715</w:t>
      </w:r>
    </w:p>
    <w:p>
      <w:r>
        <w:t>Übersichtsarbeit zu zwei Formen genomischer Instabilität: Mutationsinstabilität versus Chromosomeninstabilität und deren gegensätzliche Effekte auf Tumor-Immunität.</w:t>
      </w:r>
    </w:p>
    <w:p>
      <w:r>
        <w:rPr>
          <w:b/>
        </w:rPr>
        <w:t xml:space="preserve">Ergebnis: </w:t>
      </w:r>
      <w:r>
        <w:t>Hypermutierte Tumoren generieren Neoantigene und sind sensibel für Checkpoint-Blockade. Chromosomeninstabilität triggert chronische angeborene Immunaktivierung mit Immunsuppression durch Myeloid- und T-Zell-Dysfunktion. Diese gegensätzlichen Mechanismen erfordern unterschiedliche Immuntherapie-Strategien.</w:t>
      </w:r>
    </w:p>
    <w:p>
      <w:r>
        <w:rPr>
          <w:b/>
          <w:sz w:val="19"/>
        </w:rPr>
        <w:t xml:space="preserve">Übertragbarkeit: </w:t>
      </w:r>
      <w:r>
        <w:rPr>
          <w:sz w:val="19"/>
        </w:rPr>
        <w:t>Grundlagenarbeit zur Immuntherapie-Resistenz, Basis für Stratifizierungsansätze in der Praxis</w:t>
      </w:r>
    </w:p>
    <w:p>
      <w:r>
        <w:rPr>
          <w:color w:val="5A7D3A"/>
          <w:sz w:val="18"/>
        </w:rPr>
        <w:t>https://pubmed.ncbi.nlm.nih.gov/42817715/</w:t>
      </w:r>
    </w:p>
    <w:p>
      <w:pPr>
        <w:pStyle w:val="Heading1"/>
      </w:pPr>
      <w:r>
        <w:t>Aufgenommen am 02.10.2026</w:t>
      </w:r>
    </w:p>
    <w:p>
      <w:pPr>
        <w:pStyle w:val="Heading2"/>
      </w:pPr>
      <w:r>
        <w:t>Stereotaktische MRT-gesteuerte adaptive Strahlentherapie verbessert Lokalkontrolle bei fortgeschrittenem Pankreaskarzinom</w:t>
      </w:r>
    </w:p>
    <w:p>
      <w:r>
        <w:rPr>
          <w:i/>
          <w:color w:val="666666"/>
          <w:sz w:val="18"/>
        </w:rPr>
        <w:t>Hartfelt PB et al.  ·  Radiother Oncol  ·  01.10.2026  ·  PMID 42822782</w:t>
      </w:r>
    </w:p>
    <w:p>
      <w:r>
        <w:t>Prospektive Studie zur MRT-gesteuerten adaptiven Strahlentherapie (SMART) bei 118 Patienten mit lokal fortgeschrittenem Pankreaskarzinom (50 Gy/5 Fraktionen).</w:t>
      </w:r>
    </w:p>
    <w:p>
      <w:r>
        <w:rPr>
          <w:b/>
        </w:rPr>
        <w:t xml:space="preserve">Ergebnis: </w:t>
      </w:r>
      <w:r>
        <w:t>Medianes Gesamtüberleben 13,2 Monate ab Therapiestart (95%-CI 10,4–15,9), 2-Jahres-Überleben 23,9%. Lokale Progression bei 15,0% nach 1 Jahr und 22,2% nach 2 Jahren. Akute Grad-≥III-Toxizität bei 5,4%, späte bei 3,2%. Fernprogression war dominantes Versagensmus ter.</w:t>
      </w:r>
    </w:p>
    <w:p>
      <w:r>
        <w:rPr>
          <w:b/>
          <w:sz w:val="19"/>
        </w:rPr>
        <w:t xml:space="preserve">Übertragbarkeit: </w:t>
      </w:r>
      <w:r>
        <w:rPr>
          <w:sz w:val="19"/>
        </w:rPr>
        <w:t>Dänemark (Odense), vergleichbares europäisches Gesundheitssystem, Technologie in deutschen Zentren verfügbar.</w:t>
      </w:r>
    </w:p>
    <w:p>
      <w:r>
        <w:rPr>
          <w:color w:val="5A7D3A"/>
          <w:sz w:val="18"/>
        </w:rPr>
        <w:t>https://pubmed.ncbi.nlm.nih.gov/42822782/</w:t>
      </w:r>
    </w:p>
    <w:p>
      <w:pPr>
        <w:pStyle w:val="Heading2"/>
      </w:pPr>
      <w:r>
        <w:t>Hohe SMAD4-Expression prognostiziert besseres Überleben nach Pankreaskarzinom-Resektion</w:t>
      </w:r>
    </w:p>
    <w:p>
      <w:r>
        <w:rPr>
          <w:i/>
          <w:color w:val="666666"/>
          <w:sz w:val="18"/>
        </w:rPr>
        <w:t>Williams TM et al.  ·  Int J Radiat Oncol Biol Phys  ·  01.10.2026  ·  PMID 42822544</w:t>
      </w:r>
    </w:p>
    <w:p>
      <w:r>
        <w:t>Biomarker-Analyse von 141 Tumorproben aus der Phase-III-Studie RTOG 9704 zur SMAD4-Expression und Überleben nach adjuvanter Chemoradiotherapie.</w:t>
      </w:r>
    </w:p>
    <w:p>
      <w:r>
        <w:rPr>
          <w:b/>
        </w:rPr>
        <w:t xml:space="preserve">Ergebnis: </w:t>
      </w:r>
      <w:r>
        <w:t>Hohe SMAD4-Expression assoziiert mit verbessertem rezidivfreiem Überleben (HR 0,68, 95%-CI 0,48–0,97, p=0,03) und Gesamtüberleben (HR 0,69, 95%-CI 0,48–0,99, p=0,04). Fernmetastasen-Risiko gesenkt (HR 0,69, p=0,048). Multivariable Analyse bestätigte unabhängige Assoziation für rezidivfreies Überleben (HR 0,66, p=0,03) und Fernmetastasen (HR 0,68, p=0,052).</w:t>
      </w:r>
    </w:p>
    <w:p>
      <w:r>
        <w:rPr>
          <w:b/>
          <w:sz w:val="19"/>
        </w:rPr>
        <w:t xml:space="preserve">Übertragbarkeit: </w:t>
      </w:r>
      <w:r>
        <w:rPr>
          <w:sz w:val="19"/>
        </w:rPr>
        <w:t>USA, Biomarker-Definition auf deutsche Pankreaskarzinom-Patienten übertragbar, Prognose-Stratifizierung möglich.</w:t>
      </w:r>
    </w:p>
    <w:p>
      <w:r>
        <w:rPr>
          <w:color w:val="5A7D3A"/>
          <w:sz w:val="18"/>
        </w:rPr>
        <w:t>https://pubmed.ncbi.nlm.nih.gov/42822544/</w:t>
      </w:r>
    </w:p>
    <w:p>
      <w:pPr>
        <w:pStyle w:val="Heading2"/>
      </w:pPr>
      <w:r>
        <w:t>Immuntherapie vor Lebertransplantation senkt Rezidivrisiko bei Hepatozellulärkarzinom</w:t>
      </w:r>
    </w:p>
    <w:p>
      <w:r>
        <w:rPr>
          <w:i/>
          <w:color w:val="666666"/>
          <w:sz w:val="18"/>
        </w:rPr>
        <w:t>Ong M et al.  ·  JAMA Oncol  ·  01.10.2026  ·  PMID 42821267</w:t>
      </w:r>
    </w:p>
    <w:p>
      <w:r>
        <w:t>Retrospektive Matched-Cohort-Studie mit 416 Patienten zur ICI-basierten Downstaging-Therapie vor Lebertransplantation bei initial über Milan-Kriterien liegendem Hepatozellulärkarzinom in acht hochvolumigen chinesischen Transplantationszentren.</w:t>
      </w:r>
    </w:p>
    <w:p>
      <w:r>
        <w:rPr>
          <w:b/>
        </w:rPr>
        <w:t xml:space="preserve">Ergebnis: </w:t>
      </w:r>
      <w:r>
        <w:t>Medianes Gesamtüberleben 4,57 Jahre (ICI-Gruppe, 95%-CI 4,34-n.e.) vs. 2,53 Jahre (Kontrollgruppe, p&lt;0,001). Medianes rezidivfreies Überleben 1,47 Jahre vs. 0,89 Jahre (p=0,02). Postoperatives Rezidivrisiko: HR 0,54 (95%-CI 0,40–0,72). Akute Abstoßung häufiger in ICI-Gruppe (16,3% vs. 8,2%, p=0,01).</w:t>
      </w:r>
    </w:p>
    <w:p>
      <w:r>
        <w:rPr>
          <w:b/>
          <w:sz w:val="19"/>
        </w:rPr>
        <w:t xml:space="preserve">Übertragbarkeit: </w:t>
      </w:r>
      <w:r>
        <w:rPr>
          <w:sz w:val="19"/>
        </w:rPr>
        <w:t>Studiendesign auf europäische Transplantationszentren übertragbar, aber China-spezifische Organverfügbarkeit und Immunsuppression – Sicherheit vor Wirksamkeit klären.</w:t>
      </w:r>
    </w:p>
    <w:p>
      <w:r>
        <w:rPr>
          <w:color w:val="5A7D3A"/>
          <w:sz w:val="18"/>
        </w:rPr>
        <w:t>https://pubmed.ncbi.nlm.nih.gov/42821267/</w:t>
      </w:r>
    </w:p>
    <w:p>
      <w:pPr>
        <w:pStyle w:val="Heading2"/>
      </w:pPr>
      <w:r>
        <w:t>Immuntherapie in der Pädiatrie reduziert Spätfolgen-Mortalität beim Hodgkin-Lymphom</w:t>
      </w:r>
    </w:p>
    <w:p>
      <w:r>
        <w:rPr>
          <w:i/>
          <w:color w:val="666666"/>
          <w:sz w:val="18"/>
        </w:rPr>
        <w:t>Rogers JR et al.  ·  J Natl Cancer Inst  ·  01.10.2026  ·  PMID 42820770</w:t>
      </w:r>
    </w:p>
    <w:p>
      <w:r>
        <w:t>Simulationsmodell zur Lebenszeitprognose von 118 Kindern und Adoleszenten mit fortgeschrittenem Hodgkin-Lymphom unter modernen Brentuximab-vedotin- oder Nivolumab-Regimen vs. historischen Chemotherapie-Schemata.</w:t>
      </w:r>
    </w:p>
    <w:p>
      <w:r>
        <w:rPr>
          <w:b/>
        </w:rPr>
        <w:t xml:space="preserve">Ergebnis: </w:t>
      </w:r>
      <w:r>
        <w:t>Überlebensrate im Alter von 50 Jahren: 86% nach historischen und 92–93% nach modernen Immuntherapie-basierten Regimen (vs. 100% in Allgemeinbevölkerung). Überlebensvorteil persistiert, solange immuntherapie-assoziierte Spätsterblichkeit unter ca. 8% bleibt. Modell suggeriert Reduktion der Spätfolge-Last trotz Überlebensvorteil.</w:t>
      </w:r>
    </w:p>
    <w:p>
      <w:r>
        <w:rPr>
          <w:b/>
          <w:sz w:val="19"/>
        </w:rPr>
        <w:t xml:space="preserve">Übertragbarkeit: </w:t>
      </w:r>
      <w:r>
        <w:rPr>
          <w:sz w:val="19"/>
        </w:rPr>
        <w:t>USA-basiert, aber Endpunkt (Langzeitüberleben, Spätfolgen) tumorentitäts- und systemunabhängig.</w:t>
      </w:r>
    </w:p>
    <w:p>
      <w:r>
        <w:rPr>
          <w:color w:val="5A7D3A"/>
          <w:sz w:val="18"/>
        </w:rPr>
        <w:t>https://pubmed.ncbi.nlm.nih.gov/42820770/</w:t>
      </w:r>
    </w:p>
    <w:p>
      <w:pPr>
        <w:pStyle w:val="Heading2"/>
      </w:pPr>
      <w:r>
        <w:t>Onkolytisches Adenovirus mit Hyaluronidase verbessert Überleben bei metastasiertem Pankreaskarzinom</w:t>
      </w:r>
    </w:p>
    <w:p>
      <w:r>
        <w:rPr>
          <w:i/>
          <w:color w:val="666666"/>
          <w:sz w:val="18"/>
        </w:rPr>
        <w:t>Garcia-Carbonero R et al.  ·  Nat Med  ·  30.09.2026  ·  PMID 42816596</w:t>
      </w:r>
    </w:p>
    <w:p>
      <w:r>
        <w:t>Randomisierte Phase-2b-Studie mit 101 Patienten (53 VCN-01+Gemcitabin/nab-Paclitaxel, 48 Chemotherapie allein) zur First-Line-Therapie des metastasierten Pankreaskarzinoms.</w:t>
      </w:r>
    </w:p>
    <w:p>
      <w:r>
        <w:rPr>
          <w:b/>
        </w:rPr>
        <w:t xml:space="preserve">Ergebnis: </w:t>
      </w:r>
      <w:r>
        <w:t>Medianes Gesamtüberleben in Full-Analysis-Set: 10,8 Monate (VCN-01-Gruppe) vs. 8,6 Monate (Kontrolle; HR 0,57, 95%-CI 0,34–0,96, p=0,055). Progressionsfreies Überleben 7,0 vs. 4,6 Monate (HR 0,55, p=0,011). 15-Monats-Überleben 35,5% vs. 12,8%, 18-Monats-Überleben 31,1% vs. 8,5%. Ansprechdauer 11,2 vs. 5,4 Monate (p=0,004).</w:t>
      </w:r>
    </w:p>
    <w:p>
      <w:r>
        <w:rPr>
          <w:b/>
          <w:sz w:val="19"/>
        </w:rPr>
        <w:t xml:space="preserve">Übertragbarkeit: </w:t>
      </w:r>
      <w:r>
        <w:rPr>
          <w:sz w:val="19"/>
        </w:rPr>
        <w:t>Spanien und USA, Zulassung in Phase-3 ausstehend – Transfer zu AMNOG-Bewertung notwendig.</w:t>
      </w:r>
    </w:p>
    <w:p>
      <w:r>
        <w:rPr>
          <w:color w:val="5A7D3A"/>
          <w:sz w:val="18"/>
        </w:rPr>
        <w:t>https://pubmed.ncbi.nlm.nih.gov/42816596/</w:t>
      </w:r>
    </w:p>
    <w:p>
      <w:pPr>
        <w:pStyle w:val="Heading1"/>
      </w:pPr>
      <w:r>
        <w:t>Aufgenommen am 01.10.2026</w:t>
      </w:r>
    </w:p>
    <w:p>
      <w:pPr>
        <w:pStyle w:val="Heading2"/>
      </w:pPr>
      <w:r>
        <w:t>Strahlentherapie mit Antikörper-Wirkstoff-Konjugaten bei Brustkrebs: Sicherheit belegt</w:t>
      </w:r>
    </w:p>
    <w:p>
      <w:r>
        <w:rPr>
          <w:i/>
          <w:color w:val="666666"/>
          <w:sz w:val="18"/>
        </w:rPr>
        <w:t>Visani L et al.  ·  Radiother Oncol  ·  30.09.2026  ·  PMID 42815776</w:t>
      </w:r>
    </w:p>
    <w:p>
      <w:r>
        <w:t>Systematische Übersicht mit Metaanalyse von 29 Studien (3.817 Patienten) zur Verträglichkeit kombinierter Radiotherapie und Antikörper-Wirkstoff-Konjugaten bei frühem und metastasiertem Brustkrebs.</w:t>
      </w:r>
    </w:p>
    <w:p>
      <w:r>
        <w:rPr>
          <w:b/>
        </w:rPr>
        <w:t xml:space="preserve">Ergebnis: </w:t>
      </w:r>
      <w:r>
        <w:t>Schwere Strahlengewebsnekrose trat in 5% der Fälle auf (95%-KI: 1–12%). Bei intracranialer Stereotaxie waren 8% der Ereignisse ≥Grad 3 (95%-KI: 3–15%), mit T-DM1 13% (95%-KI: 1–34%). Pneumonitis und Hautreaktionen ≥Grad 3 waren selten (je 0%). Außerhalb des Schädels ist die Therapiekombination sicher; intracraniell, besonders mit T-DM1, ist Vorsicht geboten.</w:t>
      </w:r>
    </w:p>
    <w:p>
      <w:r>
        <w:rPr>
          <w:b/>
          <w:sz w:val="19"/>
        </w:rPr>
        <w:t xml:space="preserve">Übertragbarkeit: </w:t>
      </w:r>
      <w:r>
        <w:rPr>
          <w:sz w:val="19"/>
        </w:rPr>
        <w:t>Europa, internationale Konsensusgruppe; übertragbar auf deutsche Zentren.</w:t>
      </w:r>
    </w:p>
    <w:p>
      <w:r>
        <w:rPr>
          <w:color w:val="5A7D3A"/>
          <w:sz w:val="18"/>
        </w:rPr>
        <w:t>https://pubmed.ncbi.nlm.nih.gov/42815776/</w:t>
      </w:r>
    </w:p>
    <w:p>
      <w:pPr>
        <w:pStyle w:val="Heading2"/>
      </w:pPr>
      <w:r>
        <w:t>Erdafitinib verlängert Überleben bei FGFR-verändertem Urothelkarzinom deutlich</w:t>
      </w:r>
    </w:p>
    <w:p>
      <w:r>
        <w:rPr>
          <w:i/>
          <w:color w:val="666666"/>
          <w:sz w:val="18"/>
        </w:rPr>
        <w:t>Loriot Y et al.  ·  ESMO Open  ·  30.09.2026  ·  PMID 42815410</w:t>
      </w:r>
    </w:p>
    <w:p>
      <w:r>
        <w:t>Phase-III-Studie THOR mit 278 Patienten mit FGFR3/2-alteriertem metastasiertem Urothelkarzinom nach PD-(L)1-Progression: Erdafitinib gegen Chemotherapie (Docetaxel/Vinflunin).</w:t>
      </w:r>
    </w:p>
    <w:p>
      <w:r>
        <w:rPr>
          <w:b/>
        </w:rPr>
        <w:t xml:space="preserve">Ergebnis: </w:t>
      </w:r>
      <w:r>
        <w:t>Medianes Gesamtüberleben: 12,1 vs. 8,7 Monate (HR 0,65; 95%-KI 0,48–0,86; p=0,0031). Progressionsfreies Überleben: 5,4 vs. 2,7 Monate (HR 0,59; p&lt;0,0001). Ansprechrate: 46,9% vs. 12,6% (RR 3,74). Schwere Nebenwirkungen 67,6% vs. 65,8%; therapieassoziierte Todesfälle 0,7% vs. 6,0%.</w:t>
      </w:r>
    </w:p>
    <w:p>
      <w:r>
        <w:rPr>
          <w:b/>
          <w:sz w:val="19"/>
        </w:rPr>
        <w:t xml:space="preserve">Übertragbarkeit: </w:t>
      </w:r>
      <w:r>
        <w:rPr>
          <w:sz w:val="19"/>
        </w:rPr>
        <w:t>Internationale Studie; Zulassung relevant für Deutschland.</w:t>
      </w:r>
    </w:p>
    <w:p>
      <w:r>
        <w:rPr>
          <w:color w:val="5A7D3A"/>
          <w:sz w:val="18"/>
        </w:rPr>
        <w:t>https://pubmed.ncbi.nlm.nih.gov/42815410/</w:t>
      </w:r>
    </w:p>
    <w:p>
      <w:pPr>
        <w:pStyle w:val="Heading2"/>
      </w:pPr>
      <w:r>
        <w:t>Verzögerte Übelkeit unter moderater Chemoemesis-Gefährdung: Untererfassung über 120 Stunden hinaus</w:t>
      </w:r>
    </w:p>
    <w:p>
      <w:r>
        <w:rPr>
          <w:i/>
          <w:color w:val="666666"/>
          <w:sz w:val="18"/>
        </w:rPr>
        <w:t>Iimura Y et al.  ·  ESMO Open  ·  30.09.2026  ·  PMID 42815409</w:t>
      </w:r>
    </w:p>
    <w:p>
      <w:r>
        <w:t>Scoping Review systematischer Erfassung verzögerter chemotherapieassoziierter Übelkeit/Erbrechen (&gt;120 h) in 26 prospektiven Antiemetika-Studien (15 Phase III, 11 Phase II).</w:t>
      </w:r>
    </w:p>
    <w:p>
      <w:r>
        <w:rPr>
          <w:b/>
        </w:rPr>
        <w:t xml:space="preserve">Ergebnis: </w:t>
      </w:r>
      <w:r>
        <w:t>80,8% der Studien beschränkten Erfassung auf konventionelle 24–120 h. Komplette Remissionsquoten fielen von 71% in der Standardphase auf 62% in der Langzeitphase (&gt;120 h). Neurokinin-1-Antagonisten und ältere Patienten zeigten bessere Raten, höherer Frauenanteil schlechtere. Verlängerung der Erfassung wird empfohlen.</w:t>
      </w:r>
    </w:p>
    <w:p>
      <w:r>
        <w:rPr>
          <w:b/>
          <w:sz w:val="19"/>
        </w:rPr>
        <w:t xml:space="preserve">Übertragbarkeit: </w:t>
      </w:r>
      <w:r>
        <w:rPr>
          <w:sz w:val="19"/>
        </w:rPr>
        <w:t>Multizentrisch mit deutschen Autoren; Versorgungsforschungsfrage.</w:t>
      </w:r>
    </w:p>
    <w:p>
      <w:r>
        <w:rPr>
          <w:color w:val="5A7D3A"/>
          <w:sz w:val="18"/>
        </w:rPr>
        <w:t>https://pubmed.ncbi.nlm.nih.gov/42815409/</w:t>
      </w:r>
    </w:p>
    <w:p>
      <w:pPr>
        <w:pStyle w:val="Heading2"/>
      </w:pPr>
      <w:r>
        <w:t>Abemaciclib plus endokrine Therapie bei HR-positivem Brustkrebs: Nutzen über Lymphknoten-Subgruppen konsistent</w:t>
      </w:r>
    </w:p>
    <w:p>
      <w:r>
        <w:rPr>
          <w:i/>
          <w:color w:val="666666"/>
          <w:sz w:val="18"/>
        </w:rPr>
        <w:t>Cortes J et al.  ·  ESMO Open  ·  30.09.2026  ·  PMID 42815408</w:t>
      </w:r>
    </w:p>
    <w:p>
      <w:r>
        <w:t>Nachfolgeanalyse monarchE-Studie, Kohort 1 (91% der Gesamtpopulation): Abemaciclib + endokrine Therapie über 2 Jahre bei knoten-positiven Hochrisiko-Patienten mit HR-positivem, HER2-negativem frühem Brustkrebs nach medianer Nachbeobachtung 76,8 Monate.</w:t>
      </w:r>
    </w:p>
    <w:p>
      <w:r>
        <w:rPr>
          <w:b/>
        </w:rPr>
        <w:t xml:space="preserve">Ergebnis: </w:t>
      </w:r>
      <w:r>
        <w:t>Konsistent anhaltender Rückgang des Rezidivrisikos (invasives krankheitsfreies Überleben) und fernmetastasenfreies Überleben über alle Lymphknoten-Subgruppen (N1-Hochrisiko, N2, N3). Ähnliches Rezidivrisiko zwischen N1-Hochrisiko (68,6% Grad 3) und N2; Nutzen in allen Subgruppen bestätigt.</w:t>
      </w:r>
    </w:p>
    <w:p>
      <w:r>
        <w:rPr>
          <w:b/>
          <w:sz w:val="19"/>
        </w:rPr>
        <w:t xml:space="preserve">Übertragbarkeit: </w:t>
      </w:r>
      <w:r>
        <w:rPr>
          <w:sz w:val="19"/>
        </w:rPr>
        <w:t>Zulassungsrelevante Phase-III-Studie; Zentrenstandard.</w:t>
      </w:r>
    </w:p>
    <w:p>
      <w:r>
        <w:rPr>
          <w:color w:val="5A7D3A"/>
          <w:sz w:val="18"/>
        </w:rPr>
        <w:t>https://pubmed.ncbi.nlm.nih.gov/42815408/</w:t>
      </w:r>
    </w:p>
    <w:p>
      <w:pPr>
        <w:pStyle w:val="Heading2"/>
      </w:pPr>
      <w:r>
        <w:t>Giredestrant + Everolimus verdoppelt progressionsfreies Überleben bei HR+/HER2- metastasiertem Brustkrebs</w:t>
      </w:r>
    </w:p>
    <w:p>
      <w:r>
        <w:rPr>
          <w:i/>
          <w:color w:val="666666"/>
          <w:sz w:val="18"/>
        </w:rPr>
        <w:t>Mayer EL et al.  ·  N Engl J Med  ·  01.10.2026  ·  PMID 42814929</w:t>
      </w:r>
    </w:p>
    <w:p>
      <w:r>
        <w:t>Phase-III-Studie evERA mit 373 Patienten HR-positiv/HER2-negativ fortgeschrittenem Brustkrebs nach CDK4/6-Inhibitor-Versagen: Giredestrant + Everolimus vs. Standard endokrine Therapie + Everolimus.</w:t>
      </w:r>
    </w:p>
    <w:p>
      <w:r>
        <w:rPr>
          <w:b/>
        </w:rPr>
        <w:t xml:space="preserve">Ergebnis: </w:t>
      </w:r>
      <w:r>
        <w:t>Medianes progressionsfreies Überleben gesamt: 8,8 vs. 5,5 Monate (HR 0,56; 95%-KI 0,44–0,71; p&lt;0,001). Bei ESR1-mutiert (n=207): 10,0 vs. 5,5 Monate (HR 0,38; 95%-KI 0,27–0,54). Nebenwirkungsraten ähnlich: Stomatitis 47,3% vs. 48,9%, Diarrhö 26,9% vs. 22,6%, Anämie 23,6% vs. 21,0%.</w:t>
      </w:r>
    </w:p>
    <w:p>
      <w:r>
        <w:rPr>
          <w:b/>
          <w:sz w:val="19"/>
        </w:rPr>
        <w:t xml:space="preserve">Übertragbarkeit: </w:t>
      </w:r>
      <w:r>
        <w:rPr>
          <w:sz w:val="19"/>
        </w:rPr>
        <w:t>Zulassungsrelevant; breites europäisches Netzwerk.</w:t>
      </w:r>
    </w:p>
    <w:p>
      <w:r>
        <w:rPr>
          <w:color w:val="5A7D3A"/>
          <w:sz w:val="18"/>
        </w:rPr>
        <w:t>https://pubmed.ncbi.nlm.nih.gov/42814929/</w:t>
      </w:r>
    </w:p>
    <w:p>
      <w:pPr>
        <w:pStyle w:val="Heading2"/>
      </w:pPr>
      <w:r>
        <w:t>Tumor-Adipozyten-Kontakt prognostiziert schlechteres Überleben beim Pankreaskarzinom unabhängig</w:t>
      </w:r>
    </w:p>
    <w:p>
      <w:r>
        <w:rPr>
          <w:i/>
          <w:color w:val="666666"/>
          <w:sz w:val="18"/>
        </w:rPr>
        <w:t>Günther M et al.  ·  Eur J Cancer  ·  16.10.2026  ·  PMID 42777382</w:t>
      </w:r>
    </w:p>
    <w:p>
      <w:r>
        <w:t>Internationale Multicenter-Studie (941 resezierte PDAC aus 5 Kohorten: München n=400, Bern n=215, Graz n=111, Erlangen n=101, TCGA n=114): Direkte Tumor-Adipozyten-Kontaktflächen (TAC/SARIFA) auf H&amp;E-Schnitten als prognostisches Merkmal.</w:t>
      </w:r>
    </w:p>
    <w:p>
      <w:r>
        <w:rPr>
          <w:b/>
        </w:rPr>
        <w:t xml:space="preserve">Ergebnis: </w:t>
      </w:r>
      <w:r>
        <w:t>TAC/SARIFA in 53% positiv, Cohen's Kappa 0,71 (Interobserver-Agreement). TAC+ assoziiert mit höherem N-Stadium, höherem Grad, älteren Patienten (alle p&lt;0,01). Medianes Gesamtüberleben 14,1 vs. 28,0 Monate (p&lt;0,001); unabhängiger Prognosefaktor (gepoolte HR 1,84; 95%-KI 1,59–2,14; p&lt;0,001). Geschlechtsspezifischer Effekt: HR 2,46 bei Männern vs. 1,50 bei Frauen.</w:t>
      </w:r>
    </w:p>
    <w:p>
      <w:r>
        <w:rPr>
          <w:b/>
          <w:sz w:val="19"/>
        </w:rPr>
        <w:t xml:space="preserve">Übertragbarkeit: </w:t>
      </w:r>
      <w:r>
        <w:rPr>
          <w:sz w:val="19"/>
        </w:rPr>
        <w:t>Deutschsprachige Klinikdaten, vergleichbare Dokumentation; Routine-H&amp;E-Slides.</w:t>
      </w:r>
    </w:p>
    <w:p>
      <w:r>
        <w:rPr>
          <w:color w:val="5A7D3A"/>
          <w:sz w:val="18"/>
        </w:rPr>
        <w:t>https://pubmed.ncbi.nlm.nih.gov/42777382/</w:t>
      </w:r>
    </w:p>
    <w:p>
      <w:pPr>
        <w:pStyle w:val="Heading2"/>
      </w:pPr>
      <w:r>
        <w:t>Futibatinib nach nicht-kovalenten FGFR-Inhibitoren bei FGFR2-verändertem Gallengangskarzinom wirksam</w:t>
      </w:r>
    </w:p>
    <w:p>
      <w:r>
        <w:rPr>
          <w:i/>
          <w:color w:val="666666"/>
          <w:sz w:val="18"/>
        </w:rPr>
        <w:t>Casalino S et al.  ·  Eur J Cancer  ·  16.10.2026  ·  PMID 42731348</w:t>
      </w:r>
    </w:p>
    <w:p>
      <w:r>
        <w:t>Retrospektive europäische Multicenter-Studie (3 Zentren) an 16 Patienten mit FGFR2-rearrangiertem intrahepatischem Cholangiokarziom: Futibatinib nach Progression unter nicht-kovalenten FGFR-Inhibitoren.</w:t>
      </w:r>
    </w:p>
    <w:p>
      <w:r>
        <w:rPr>
          <w:b/>
        </w:rPr>
        <w:t xml:space="preserve">Ergebnis: </w:t>
      </w:r>
      <w:r>
        <w:t>Medianes PFS unter nicht-kovalenten Inhibitoren: 10,2 Monate (95%-KI 7,0–15,5), Ansprechrate 60,0%. Mit Futibatinib (Viertlinien-Median): ORR 31,3%, Kontrolle 50,0%, medianes PFS 4,5 Monate (95%-KI 2,0–9,1), medianes OS 9,9 Monate (95%-KI 5,7–nicht erreicht). FGFR2-Resistenzmutationen in 100% (n=11), polyklonal 45,5%. Effizienz unabhängig von Anzahl Resistenzmutationen.</w:t>
      </w:r>
    </w:p>
    <w:p>
      <w:r>
        <w:rPr>
          <w:b/>
          <w:sz w:val="19"/>
        </w:rPr>
        <w:t xml:space="preserve">Übertragbarkeit: </w:t>
      </w:r>
      <w:r>
        <w:rPr>
          <w:sz w:val="19"/>
        </w:rPr>
        <w:t>Deutschland und italienische/britische Zentren; Mechanismus-Beweis für kovalente Nachfolgetherapie.</w:t>
      </w:r>
    </w:p>
    <w:p>
      <w:r>
        <w:rPr>
          <w:color w:val="5A7D3A"/>
          <w:sz w:val="18"/>
        </w:rPr>
        <w:t>https://pubmed.ncbi.nlm.nih.gov/42731348/</w:t>
      </w:r>
    </w:p>
    <w:p>
      <w:pPr>
        <w:pStyle w:val="Heading1"/>
      </w:pPr>
      <w:r>
        <w:t>Aufgenommen am 30.09.2026</w:t>
      </w:r>
    </w:p>
    <w:p>
      <w:pPr>
        <w:pStyle w:val="Heading2"/>
      </w:pPr>
      <w:r>
        <w:t>Bewegungsintervention verbessert Aufmerksamkeit bei Brustkrebsüberlebenden.</w:t>
      </w:r>
    </w:p>
    <w:p>
      <w:r>
        <w:rPr>
          <w:i/>
          <w:color w:val="666666"/>
          <w:sz w:val="18"/>
        </w:rPr>
        <w:t>Hartman SJ et al.  ·  J Natl Cancer Inst  ·  30.09.2026  ·  PMID 42810736</w:t>
      </w:r>
    </w:p>
    <w:p>
      <w:r>
        <w:t>Randomisierte kontrollierte Studie mit 253 Brustkrebsüberlebenden: 12 Monate ferngesteuerte Bewegungsintervention vs. Kontakt-gematchte Health-&amp;-Wellness-Kontrolle auf Kognition und körperliche Aktivität.</w:t>
      </w:r>
    </w:p>
    <w:p>
      <w:r>
        <w:rPr>
          <w:b/>
        </w:rPr>
        <w:t xml:space="preserve">Ergebnis: </w:t>
      </w:r>
      <w:r>
        <w:t>Bewegungsarm zeigte größere Zunahme an moderater bis intensiver Aktivität (18 auf 23,5 Min./Tag vs. 15 auf 15,5 Min.). Kein signifikanter Unterschied in primären Outcomes (Selbstbericht Kognition, Processing Speed, 6 und 12 Monate, p &gt; 0,05). Sekundäre Outcomes: Bewegungsarm bessere Aufmerksamkeit (6 Mo.: b = 0,14, p = 0,03; 12 Mo.: b = 0,21, p = 0,002) und kurzfristig besseres Gedächtnis (6 Mo.: b = 0,18, p &lt; 0,01).</w:t>
      </w:r>
    </w:p>
    <w:p>
      <w:r>
        <w:rPr>
          <w:b/>
          <w:sz w:val="19"/>
        </w:rPr>
        <w:t xml:space="preserve">Übertragbarkeit: </w:t>
      </w:r>
      <w:r>
        <w:rPr>
          <w:sz w:val="19"/>
        </w:rPr>
        <w:t>USA-amerikanisches Forschungssetting, aber patientenrelevanter Endpunkt und gut skalierbare Fernintervention.</w:t>
      </w:r>
    </w:p>
    <w:p>
      <w:r>
        <w:rPr>
          <w:color w:val="5A7D3A"/>
          <w:sz w:val="18"/>
        </w:rPr>
        <w:t>https://pubmed.ncbi.nlm.nih.gov/42810736/</w:t>
      </w:r>
    </w:p>
    <w:p>
      <w:pPr>
        <w:pStyle w:val="Heading2"/>
      </w:pPr>
      <w:r>
        <w:t>Bewegung verlangsamt epigenetisches Altern bei Brustkrebsüberlebenden.</w:t>
      </w:r>
    </w:p>
    <w:p>
      <w:r>
        <w:rPr>
          <w:i/>
          <w:color w:val="666666"/>
          <w:sz w:val="18"/>
        </w:rPr>
        <w:t>Carlin D et al.  ·  J Natl Cancer Inst  ·  30.09.2026  ·  PMID 42810733</w:t>
      </w:r>
    </w:p>
    <w:p>
      <w:r>
        <w:t>Sekundäranalyse einer RCT mit 124 Brustkrebsüberlebenden: Auswirkung einer 12-Monate-Bewegungsintervention auf DNA-Methylierungsmuster (epigenetische Uhren).</w:t>
      </w:r>
    </w:p>
    <w:p>
      <w:r>
        <w:rPr>
          <w:b/>
        </w:rPr>
        <w:t xml:space="preserve">Ergebnis: </w:t>
      </w:r>
      <w:r>
        <w:t>Bewegungsarm zeigte verlangsamtes epigenetisches Altern nach GrimAge2 (p = 0,02) und DNAmFitAge (p = 0,002) vs. Kontrolle über 12 Monate. Schnelleres epigenetisches Altern mit größerem kognitiven Abbau assoziiert. Genomweite Analyse: differenziell methylierte Stellen mit Anreicherung in BDNF-Signalwegen. Epigenetisches Altern als modifizierbar durch Bewegung und möglicherweise mechanistisches Bindeglied zu kognitiven Effekten.</w:t>
      </w:r>
    </w:p>
    <w:p>
      <w:r>
        <w:rPr>
          <w:b/>
          <w:sz w:val="19"/>
        </w:rPr>
        <w:t xml:space="preserve">Übertragbarkeit: </w:t>
      </w:r>
      <w:r>
        <w:rPr>
          <w:sz w:val="19"/>
        </w:rPr>
        <w:t>USA-Studie, aber biologischer Mechanismus und patientenrelevantes Outcome übertragbar.</w:t>
      </w:r>
    </w:p>
    <w:p>
      <w:r>
        <w:rPr>
          <w:color w:val="5A7D3A"/>
          <w:sz w:val="18"/>
        </w:rPr>
        <w:t>https://pubmed.ncbi.nlm.nih.gov/42810733/</w:t>
      </w:r>
    </w:p>
    <w:p>
      <w:pPr>
        <w:pStyle w:val="Heading2"/>
      </w:pPr>
      <w:r>
        <w:t>Pembrolizumab-Monotherapie beim Nierenzellkarzinom: Biomarker und Langzeitergebnisse.</w:t>
      </w:r>
    </w:p>
    <w:p>
      <w:r>
        <w:rPr>
          <w:i/>
          <w:color w:val="666666"/>
          <w:sz w:val="18"/>
        </w:rPr>
        <w:t>McDermott DF et al.  ·  Ann Oncol  ·  29.09.2026  ·  PMID 42810586</w:t>
      </w:r>
    </w:p>
    <w:p>
      <w:r>
        <w:t>Phase-II-Studie KEYNOTE-427 nach Median 61 Monaten Follow-up: Objektives Ansprechen und Prognosefaktoren für Pembrolizumab ohne Kombinationstherapie bei klarzelliger und nicht-klarzelliger RCC.</w:t>
      </w:r>
    </w:p>
    <w:p>
      <w:r>
        <w:rPr>
          <w:b/>
        </w:rPr>
        <w:t xml:space="preserve">Ergebnis: </w:t>
      </w:r>
      <w:r>
        <w:t>Objektive Ansprechrate 36,4 % (klarzelliges RCC) und 26,7 % (nicht-klarzelliges RCC). T-Zell-entzündliches Genexpressionsprofil (TcellinfGEP) assoziiert mit höherem Ansprechen (p = 0,0208 bzw. p = 0,0021). PD-L1 CPS kontinuierlich mit Gesamtüberleben korreliert (nicht-klarzelliges RCC: p = 0,0014). Patienten mit nachweisbarer ctDNA am Baseline hatten kürzeres OS (30,5 vs. 53,7 Monate). Treibermutationen zeigten keine konsistenten Muster.</w:t>
      </w:r>
    </w:p>
    <w:p>
      <w:r>
        <w:rPr>
          <w:b/>
          <w:sz w:val="19"/>
        </w:rPr>
        <w:t xml:space="preserve">Übertragbarkeit: </w:t>
      </w:r>
      <w:r>
        <w:rPr>
          <w:sz w:val="19"/>
        </w:rPr>
        <w:t>Nordamerikanische Kohorte, internationale Zentren, Biomarker-Erkenntnisse für Präzisionstherapie übertragbar.</w:t>
      </w:r>
    </w:p>
    <w:p>
      <w:r>
        <w:rPr>
          <w:color w:val="5A7D3A"/>
          <w:sz w:val="18"/>
        </w:rPr>
        <w:t>https://pubmed.ncbi.nlm.nih.gov/42810586/</w:t>
      </w:r>
    </w:p>
    <w:p>
      <w:pPr>
        <w:pStyle w:val="Heading2"/>
      </w:pPr>
      <w:r>
        <w:t>Lebensqualität in Adjuvansstudien: Neue Standards zur Berichterstattung.</w:t>
      </w:r>
    </w:p>
    <w:p>
      <w:r>
        <w:rPr>
          <w:i/>
          <w:color w:val="666666"/>
          <w:sz w:val="18"/>
        </w:rPr>
        <w:t>Tannock IF et al.  ·  Lancet Oncol  ·  29.09.2026  ·  PMID 42810369</w:t>
      </w:r>
    </w:p>
    <w:p>
      <w:r>
        <w:t>Konsensempfehlungen europäischer und kanadischer Leitlinienautoren zur Erfassung und Darstellung der gesundheitsbezogenen Lebensqualität in Publikationen von Zulassungsstudien der adjuvanten Systemtherapie.</w:t>
      </w:r>
    </w:p>
    <w:p>
      <w:r>
        <w:rPr>
          <w:b/>
        </w:rPr>
        <w:t xml:space="preserve">Ergebnis: </w:t>
      </w:r>
      <w:r>
        <w:t>Die Studienautoren empfehlen, den Anteil der Patienten mit vordefinierter Verschlechterung in validierten Lebensqualitätsskalen sowie die Dauer dieser Beeinträchtigung während und nach Therapie zu dokumentieren. Symptome, Funktionsfähigkeit und Gesamtlebensqualität sollen differenzieren zwischen Patienten mit und ohne klinisch bedeutsame Toxizität. Diese Angaben sind im Primärbericht essentiell für informed treatment decisions.</w:t>
      </w:r>
    </w:p>
    <w:p>
      <w:r>
        <w:rPr>
          <w:b/>
          <w:sz w:val="19"/>
        </w:rPr>
        <w:t xml:space="preserve">Übertragbarkeit: </w:t>
      </w:r>
      <w:r>
        <w:rPr>
          <w:sz w:val="19"/>
        </w:rPr>
        <w:t>Europäische Autorenschaft, Standard für randomisierte Therapiestudien, übertragbar auf deutsches Zulassungswesen.</w:t>
      </w:r>
    </w:p>
    <w:p>
      <w:r>
        <w:rPr>
          <w:color w:val="5A7D3A"/>
          <w:sz w:val="18"/>
        </w:rPr>
        <w:t>https://pubmed.ncbi.nlm.nih.gov/42810369/</w:t>
      </w:r>
    </w:p>
    <w:p>
      <w:pPr>
        <w:pStyle w:val="Heading2"/>
      </w:pPr>
      <w:r>
        <w:t>Pembrolizumab-Lenvatinib bei metastasiertem Endometriumkarzinom: Real-World-Wirksamkeit.</w:t>
      </w:r>
    </w:p>
    <w:p>
      <w:r>
        <w:rPr>
          <w:i/>
          <w:color w:val="666666"/>
          <w:sz w:val="18"/>
        </w:rPr>
        <w:t>Bello Roufai D et al.  ·  ESMO Open  ·  29.09.2026  ·  PMID 42810020</w:t>
      </w:r>
    </w:p>
    <w:p>
      <w:r>
        <w:t>Französisches Programm für frühzeitigen Zugang: Wirksamkeit und Sicherheit von Pembrolizumab-Lenvatinib bei 351 Patienten mit metastasiertem Endometriumkarzinom in 25 Zentren, einschließlich älterer und fragiler Patienten.</w:t>
      </w:r>
    </w:p>
    <w:p>
      <w:r>
        <w:rPr>
          <w:b/>
        </w:rPr>
        <w:t xml:space="preserve">Ergebnis: </w:t>
      </w:r>
      <w:r>
        <w:t>Medianes Progressions-freies Überleben 6,0 Monate, medianes Gesamtüberleben 21 Monate. Objektive Ansprechrate 41 %, klinischer Benefit 68 %. Mismatch-Repair-Defizienz mit verlängertem PFS assoziiert (16 vs. 6 Monate, p &lt; 0,001). 27,6 % permanentes Absetzen von Lenvatinib wegen Toxizität; reduzierte Startdosen (37,2 %) beeinträchtigten PFS nicht. Wirksam auch in realen Populationen jenseits von Studienbedingungen.</w:t>
      </w:r>
    </w:p>
    <w:p>
      <w:r>
        <w:rPr>
          <w:b/>
          <w:sz w:val="19"/>
        </w:rPr>
        <w:t xml:space="preserve">Übertragbarkeit: </w:t>
      </w:r>
      <w:r>
        <w:rPr>
          <w:sz w:val="19"/>
        </w:rPr>
        <w:t>Französisches Versicherungssystem, Zentrumserfahrung, klinische Kohorten ähnlich deutschem Patientengut.</w:t>
      </w:r>
    </w:p>
    <w:p>
      <w:r>
        <w:rPr>
          <w:color w:val="5A7D3A"/>
          <w:sz w:val="18"/>
        </w:rPr>
        <w:t>https://pubmed.ncbi.nlm.nih.gov/42810020/</w:t>
      </w:r>
    </w:p>
    <w:p>
      <w:pPr>
        <w:pStyle w:val="Heading2"/>
      </w:pPr>
      <w:r>
        <w:t>Entscheidungshilfe für Palliativbehandlung beim Pankreaskarzinom: Real-World-Implementierung.</w:t>
      </w:r>
    </w:p>
    <w:p>
      <w:r>
        <w:rPr>
          <w:i/>
          <w:color w:val="666666"/>
          <w:sz w:val="18"/>
        </w:rPr>
        <w:t>Graus MUJE et al.  ·  Oncologist  ·  29.09.2026  ·  PMID 42809229</w:t>
      </w:r>
    </w:p>
    <w:p>
      <w:r>
        <w:t>Prospektive Multizenter-Studie an 10 niederländischen Expertenzentren: Einsatz einer Shared-Decision-Making-Hilfe bei 181 Patienten mit metastasiertem Pankreaskarzinom zur Unterstützung von Therapieentscheidungen.</w:t>
      </w:r>
    </w:p>
    <w:p>
      <w:r>
        <w:rPr>
          <w:b/>
        </w:rPr>
        <w:t xml:space="preserve">Ergebnis: </w:t>
      </w:r>
      <w:r>
        <w:t>Patienten mit ausreichend Bedenkzeit verwendeten die Entscheidungshilfe häufiger (p &lt; 0,01). Mediane Bewertung durch Patienten und Kliniker: 8/10. Diskordanz zwischen Arzt- und Patientenpreferenzen in 37 % beobachtet; Unterschiede zur finalen Therapieentscheidung häufig. Struktur-unterstützte SDM-Hilfe wird hochwertig akzeptiert und kann erfolgreich implementiert werden.</w:t>
      </w:r>
    </w:p>
    <w:p>
      <w:r>
        <w:rPr>
          <w:b/>
          <w:sz w:val="19"/>
        </w:rPr>
        <w:t xml:space="preserve">Übertragbarkeit: </w:t>
      </w:r>
      <w:r>
        <w:rPr>
          <w:sz w:val="19"/>
        </w:rPr>
        <w:t>Niederländisches System, vergleichbar mit deutschem Gesundheitswesen, SDM-Verfahren direkt übertragbar.</w:t>
      </w:r>
    </w:p>
    <w:p>
      <w:r>
        <w:rPr>
          <w:color w:val="5A7D3A"/>
          <w:sz w:val="18"/>
        </w:rPr>
        <w:t>https://pubmed.ncbi.nlm.nih.gov/42809229/</w:t>
      </w:r>
    </w:p>
    <w:p>
      <w:pPr>
        <w:pStyle w:val="Heading1"/>
      </w:pPr>
      <w:r>
        <w:t>Aufgenommen am 29.09.2026</w:t>
      </w:r>
    </w:p>
    <w:p>
      <w:pPr>
        <w:pStyle w:val="Heading2"/>
      </w:pPr>
      <w:r>
        <w:t>Hypofractionierte Postmastektomie-Radiotherapie ohne Anstieg schwerer Toxizitäten</w:t>
      </w:r>
    </w:p>
    <w:p>
      <w:r>
        <w:rPr>
          <w:i/>
          <w:color w:val="666666"/>
          <w:sz w:val="18"/>
        </w:rPr>
        <w:t>Sun GY et al.  ·  Lancet Oncol  ·  Okt. 2026  ·  PMID 42805199</w:t>
      </w:r>
    </w:p>
    <w:p>
      <w:r>
        <w:t>Randomisierte Phase-3-Studie mit 10-Jahres-Nachbeobachtung von 820 Patientinnen mit hochrisiko-Brustkrebs nach Mastektomie.</w:t>
      </w:r>
    </w:p>
    <w:p>
      <w:r>
        <w:rPr>
          <w:b/>
        </w:rPr>
        <w:t xml:space="preserve">Ergebnis: </w:t>
      </w:r>
      <w:r>
        <w:t>Lokoregionales Rezidiv nach 10 Jahren: 10,3 % (konventionell) vs. 12,0 % (hypofraktioniert; Hazard Ratio 1,19; 95%-KI 0,79–1,82). Grade-3-Toxizitäten waren selten und ähnlich in beiden Gruppen (je &lt;1–2 %). Hypofraktionierung ist zeiteffizient und gleichwertig sicher.</w:t>
      </w:r>
    </w:p>
    <w:p>
      <w:r>
        <w:rPr>
          <w:b/>
          <w:sz w:val="19"/>
        </w:rPr>
        <w:t xml:space="preserve">Übertragbarkeit: </w:t>
      </w:r>
      <w:r>
        <w:rPr>
          <w:sz w:val="19"/>
        </w:rPr>
        <w:t>China, vergleichbare onkologische Versorgung; Ergebnis sollte Leitlinien beeinflussen.</w:t>
      </w:r>
    </w:p>
    <w:p>
      <w:r>
        <w:rPr>
          <w:color w:val="5A7D3A"/>
          <w:sz w:val="18"/>
        </w:rPr>
        <w:t>https://pubmed.ncbi.nlm.nih.gov/42805199/</w:t>
      </w:r>
    </w:p>
    <w:p>
      <w:pPr>
        <w:pStyle w:val="Heading2"/>
      </w:pPr>
      <w:r>
        <w:t>2,3 Millionen Krebsfälle weltweit durch Infektionen: Prävention möglich</w:t>
      </w:r>
    </w:p>
    <w:p>
      <w:r>
        <w:rPr>
          <w:i/>
          <w:color w:val="666666"/>
          <w:sz w:val="18"/>
        </w:rPr>
        <w:t>Rumgay H et al.  ·  Lancet Oncol  ·  Okt. 2026  ·  PMID 42805198</w:t>
      </w:r>
    </w:p>
    <w:p>
      <w:r>
        <w:t>Analyse der Global Cancer Observatory 2024 zu Krebslast durch 12 klassifizierten Karzinogene (H. pylori, HPV, HBV, HCV, EBV u. a.).</w:t>
      </w:r>
    </w:p>
    <w:p>
      <w:r>
        <w:rPr>
          <w:b/>
        </w:rPr>
        <w:t xml:space="preserve">Ergebnis: </w:t>
      </w:r>
      <w:r>
        <w:t>12 % aller Krebsinzidenz 2024 (2,3 Mio. Fälle) attributabel: H. pylori 760.000 (4 %), HPV 750.000 (4 %), HBV 360.000 (2 %). Höchste Lasten in Ostasien (990.000 Fälle; 31,9/100.000), Sub-Sahara-Afrika (28,5/100.000). Prävention durch Impfung, Test-and-Treat möglich.</w:t>
      </w:r>
    </w:p>
    <w:p>
      <w:r>
        <w:rPr>
          <w:b/>
          <w:sz w:val="19"/>
        </w:rPr>
        <w:t xml:space="preserve">Übertragbarkeit: </w:t>
      </w:r>
      <w:r>
        <w:rPr>
          <w:sz w:val="19"/>
        </w:rPr>
        <w:t>Global applikabel, auch für Deutschland bei Präventionsplanung relevant.</w:t>
      </w:r>
    </w:p>
    <w:p>
      <w:r>
        <w:rPr>
          <w:color w:val="5A7D3A"/>
          <w:sz w:val="18"/>
        </w:rPr>
        <w:t>https://pubmed.ncbi.nlm.nih.gov/42805198/</w:t>
      </w:r>
    </w:p>
    <w:p>
      <w:pPr>
        <w:pStyle w:val="Heading2"/>
      </w:pPr>
      <w:r>
        <w:t>Keimbahnvariantenscreening: Nutzen vs. Schaden für Population?</w:t>
      </w:r>
    </w:p>
    <w:p>
      <w:r>
        <w:rPr>
          <w:i/>
          <w:color w:val="666666"/>
          <w:sz w:val="18"/>
        </w:rPr>
        <w:t>Turnbull C et al.  ·  Lancet Oncol  ·  25.09.2026  ·  PMID 42790443</w:t>
      </w:r>
    </w:p>
    <w:p>
      <w:r>
        <w:t>Policy Review von Experten zu Expansion von Cancer-Susceptibility-Testing von Genetik-Kliniken in die Bevölkerung; Fokus auf klinische Evidenz und Health-System-Implikationen.</w:t>
      </w:r>
    </w:p>
    <w:p>
      <w:r>
        <w:rPr>
          <w:b/>
        </w:rPr>
        <w:t xml:space="preserve">Ergebnis: </w:t>
      </w:r>
      <w:r>
        <w:t>Nur für wenige Gene (BRCA1, BRCA2, MLH1, MSH2) etablierte Risiken und evidenzgestützte Interventionen. Für viele Panel-Gene: unsichere Penetranz, fehlende Mortalitätsreduktion und Kosteneffektivität. Polygene Risikoscores diskriminatorisch begrenzt, abhängig von Ethnizität. Tiered, kontextabhängiger Implementierungsansatz empfohlen.</w:t>
      </w:r>
    </w:p>
    <w:p>
      <w:r>
        <w:rPr>
          <w:b/>
          <w:sz w:val="19"/>
        </w:rPr>
        <w:t xml:space="preserve">Übertragbarkeit: </w:t>
      </w:r>
      <w:r>
        <w:rPr>
          <w:sz w:val="19"/>
        </w:rPr>
        <w:t>Direkt auf Deutschland übertragbar; könnte AMNOG-, Zertifizierungs- und Leitlinien-Entscheidungen beeinflussen.</w:t>
      </w:r>
    </w:p>
    <w:p>
      <w:r>
        <w:rPr>
          <w:color w:val="5A7D3A"/>
          <w:sz w:val="18"/>
        </w:rPr>
        <w:t>https://pubmed.ncbi.nlm.nih.gov/42790443/</w:t>
      </w:r>
    </w:p>
    <w:p>
      <w:pPr>
        <w:pStyle w:val="Heading2"/>
      </w:pPr>
      <w:r>
        <w:t>Real-World-Überleben HER2-positiver metastastischer Brustkrebs: 41,4 Monate</w:t>
      </w:r>
    </w:p>
    <w:p>
      <w:r>
        <w:rPr>
          <w:i/>
          <w:color w:val="666666"/>
          <w:sz w:val="18"/>
        </w:rPr>
        <w:t>Lee SC et al.  ·  ESMO Open  ·  25.09.2026  ·  PMID 42790263</w:t>
      </w:r>
    </w:p>
    <w:p>
      <w:r>
        <w:t>Retrospektive HER2 REAL Study aus 6 Ländern mit 763 Patienten und HER2-positivem metastasiertem Brustkrebs; Treatment Patterns und OS.</w:t>
      </w:r>
    </w:p>
    <w:p>
      <w:r>
        <w:rPr>
          <w:b/>
        </w:rPr>
        <w:t xml:space="preserve">Ergebnis: </w:t>
      </w:r>
      <w:r>
        <w:t>Mediales Gesamtüberleben: 41,4 Monate (95%-KI 38,1–45,8). Erste Linie Trastuzumab+Pertuzumab+CT: 58,1 % erhalten, medianes OS 46,8 Monate. Zweite Linie T-DM1: 45,5 %, medianes OS 23,9 Monate. Heterogenes Therapiemuster, Optimierungsbedarf identifiziert.</w:t>
      </w:r>
    </w:p>
    <w:p>
      <w:r>
        <w:rPr>
          <w:b/>
          <w:sz w:val="19"/>
        </w:rPr>
        <w:t xml:space="preserve">Übertragbarkeit: </w:t>
      </w:r>
      <w:r>
        <w:rPr>
          <w:sz w:val="19"/>
        </w:rPr>
        <w:t>6 Länder, Patientenauswahl pragmatisch, Real-World-Vergleichswert aber limitiert aussagekräftig für Deutschland.</w:t>
      </w:r>
    </w:p>
    <w:p>
      <w:r>
        <w:rPr>
          <w:color w:val="5A7D3A"/>
          <w:sz w:val="18"/>
        </w:rPr>
        <w:t>https://pubmed.ncbi.nlm.nih.gov/42790263/</w:t>
      </w:r>
    </w:p>
    <w:p>
      <w:pPr>
        <w:pStyle w:val="Heading2"/>
      </w:pPr>
      <w:r>
        <w:t>Daratumumab mit VRd verbessert Remissionstiefe bei transplantuntauglichem Myelom</w:t>
      </w:r>
    </w:p>
    <w:p>
      <w:r>
        <w:rPr>
          <w:i/>
          <w:color w:val="666666"/>
          <w:sz w:val="18"/>
        </w:rPr>
        <w:t>Usmani SZ et al.  ·  J Clin Oncol  ·  25.09.2026  ·  PMID 42789828</w:t>
      </w:r>
    </w:p>
    <w:p>
      <w:r>
        <w:t>Phase-3-Studie CEPHEUS mit 289 transplantuntauglichen Patienten (median 58,7 Monate Nachfolge): DVRd versus VRd.</w:t>
      </w:r>
    </w:p>
    <w:p>
      <w:r>
        <w:rPr>
          <w:b/>
        </w:rPr>
        <w:t xml:space="preserve">Ergebnis: </w:t>
      </w:r>
      <w:r>
        <w:t>MRD-Negativität (10⁻⁵): 60,4 % (DVRd) vs. 39,3 % (VRd; p=0,0004). Progressionsfreies Überleben: HR 0,51 (95%-KI 0,35–0,74; p=0,0003). Nachhaltige MRD ≥12 Monate: 47,2 % vs. 28,3 % (p=0,0010).</w:t>
      </w:r>
    </w:p>
    <w:p>
      <w:r>
        <w:rPr>
          <w:b/>
          <w:sz w:val="19"/>
        </w:rPr>
        <w:t xml:space="preserve">Übertragbarkeit: </w:t>
      </w:r>
      <w:r>
        <w:rPr>
          <w:sz w:val="19"/>
        </w:rPr>
        <w:t>Zulassungsrelevante Studie, Datenlage für AMNOG-Bewertung verfügbar.</w:t>
      </w:r>
    </w:p>
    <w:p>
      <w:r>
        <w:rPr>
          <w:color w:val="5A7D3A"/>
          <w:sz w:val="18"/>
        </w:rPr>
        <w:t>https://pubmed.ncbi.nlm.nih.gov/42789828/</w:t>
      </w:r>
    </w:p>
    <w:p>
      <w:pPr>
        <w:pStyle w:val="Heading2"/>
      </w:pPr>
      <w:r>
        <w:t>Symptomcluster nach Schilddrüsenkrebs-OP beeinflussen Lebensqualität</w:t>
      </w:r>
    </w:p>
    <w:p>
      <w:r>
        <w:rPr>
          <w:i/>
          <w:color w:val="666666"/>
          <w:sz w:val="18"/>
        </w:rPr>
        <w:t>Gao J et al.  ·  Oncologist  ·  24.09.2026  ·  PMID 42786665</w:t>
      </w:r>
    </w:p>
    <w:p>
      <w:r>
        <w:t>Nationale multizentrische Querschnittsstudie mit 1.093 Patienten 4 Wochen post-Thyreoidektomie; Symptome und Lebensqualität mittels EORTC QLQ erhoben.</w:t>
      </w:r>
    </w:p>
    <w:p>
      <w:r>
        <w:rPr>
          <w:b/>
        </w:rPr>
        <w:t xml:space="preserve">Ergebnis: </w:t>
      </w:r>
      <w:r>
        <w:t>Drei Symptomcluster identifiziert: psychologisch-somatisch, Schilddrüsenhormon-bezogen, Operations-bezogen. Psychologisch-somatischer Cluster stärker mit schlechterer Lebensqualität assoziiert (β=−0,596; 95%-KI −0,713 bis −0,581). Frauen und Totalthyreoidektomie zeigten höhere Risikomarker.</w:t>
      </w:r>
    </w:p>
    <w:p>
      <w:r>
        <w:rPr>
          <w:b/>
          <w:sz w:val="19"/>
        </w:rPr>
        <w:t xml:space="preserve">Übertragbarkeit: </w:t>
      </w:r>
      <w:r>
        <w:rPr>
          <w:sz w:val="19"/>
        </w:rPr>
        <w:t>China, Symptomerfassung übertragbar, strukturierte Nachsorge-Interventionen ableitbar.</w:t>
      </w:r>
    </w:p>
    <w:p>
      <w:r>
        <w:rPr>
          <w:color w:val="5A7D3A"/>
          <w:sz w:val="18"/>
        </w:rPr>
        <w:t>https://pubmed.ncbi.nlm.nih.gov/42786665/</w:t>
      </w:r>
    </w:p>
    <w:p>
      <w:pPr>
        <w:pStyle w:val="Heading2"/>
      </w:pPr>
      <w:r>
        <w:t>TA-Wiederholungen als Schwachstelle extrachromosomaler DNA im Tumor</w:t>
      </w:r>
    </w:p>
    <w:p>
      <w:r>
        <w:rPr>
          <w:i/>
          <w:color w:val="666666"/>
          <w:sz w:val="18"/>
        </w:rPr>
        <w:t>Billing D et al.  ·  Nature  ·  23.09.2026  ·  PMID 42778593</w:t>
      </w:r>
    </w:p>
    <w:p>
      <w:r>
        <w:t>Grundlagenarbeit zur Mechanik der Aufrechterhaltung extrachromosomaler DNA (ecDNA) in Krebszellen mittels Single-Cell-Sequenzierung und funktionellen Studien.</w:t>
      </w:r>
    </w:p>
    <w:p>
      <w:r>
        <w:rPr>
          <w:b/>
        </w:rPr>
        <w:t xml:space="preserve">Ergebnis: </w:t>
      </w:r>
      <w:r>
        <w:t>Polymerase-θ (Polθ) und FANCM supprimieren Bruchbildung an TA-reichen Stellen. MMEJ-Reparatur hält ecDNA stabil; Polθ-Inhibition destabilisiert ecDNA selektiv, induziert Fitnessverlust in ecDNA-abhängigen Tumoren. Therapeutisches Potenzial identifiziert.</w:t>
      </w:r>
    </w:p>
    <w:p>
      <w:r>
        <w:rPr>
          <w:b/>
          <w:sz w:val="19"/>
        </w:rPr>
        <w:t xml:space="preserve">Übertragbarkeit: </w:t>
      </w:r>
      <w:r>
        <w:rPr>
          <w:sz w:val="19"/>
        </w:rPr>
        <w:t>USA und Deutschland (Charité beteiligt); Zielstruktur für neue Wirkstoff-entwicklung, noch präklinisch.</w:t>
      </w:r>
    </w:p>
    <w:p>
      <w:r>
        <w:rPr>
          <w:color w:val="5A7D3A"/>
          <w:sz w:val="18"/>
        </w:rPr>
        <w:t>https://pubmed.ncbi.nlm.nih.gov/42778593/</w:t>
      </w:r>
    </w:p>
    <w:p>
      <w:pPr>
        <w:pStyle w:val="Heading1"/>
      </w:pPr>
      <w:r>
        <w:t>Aufgenommen am 28.09.2026</w:t>
      </w:r>
    </w:p>
    <w:p>
      <w:pPr>
        <w:pStyle w:val="Heading2"/>
      </w:pPr>
      <w:r>
        <w:t>Kanonische Action Research verbessert Protontherapie-Zuweisungsquoten: Niederländische Versorgungsstudie zeigt Implementierungsdefizite</w:t>
      </w:r>
    </w:p>
    <w:p>
      <w:r>
        <w:rPr>
          <w:i/>
          <w:color w:val="666666"/>
          <w:sz w:val="18"/>
        </w:rPr>
        <w:t>Ho F et al.  ·  Radiother Oncol  ·  27.09.2026  ·  PMID 42801959</w:t>
      </w:r>
    </w:p>
    <w:p>
      <w:r>
        <w:t>Qualitative Implementierungsstudie mit Canonical Action Research in niederländischen Radiotherapie-Zentren zu Barrieren und Interventionen bei Protontherapie-Zuweisungen für Lungen- und Ösophaguskarzinome.</w:t>
      </w:r>
    </w:p>
    <w:p>
      <w:r>
        <w:rPr>
          <w:b/>
        </w:rPr>
        <w:t xml:space="preserve">Ergebnis: </w:t>
      </w:r>
      <w:r>
        <w:t>Diagnose-Phase identifizierte Barrieren (Wissenslücken, unzureichende Koordination, Logistik). Implementierte stakeholder-entwickelte Interventionen (Logistik-Verbesserungen, Patienten-Begleiter) waren mit erhöhten Überweisungs- und Behandlungsraten an einem Zentrum assoziiert. Stakeholder-Wahrnehmung von Pathway-Design und Intervention-Angemessenheit verbesserte sich; Patienten-Zufriedenheit blieb stabil.</w:t>
      </w:r>
    </w:p>
    <w:p>
      <w:r>
        <w:rPr>
          <w:b/>
          <w:sz w:val="19"/>
        </w:rPr>
        <w:t xml:space="preserve">Übertragbarkeit: </w:t>
      </w:r>
      <w:r>
        <w:rPr>
          <w:sz w:val="19"/>
        </w:rPr>
        <w:t>Niederlande, vergleichbares Versicherungssystem; Modell übertragbar auf deutsche Zentrumsvernetzung</w:t>
      </w:r>
    </w:p>
    <w:p>
      <w:r>
        <w:rPr>
          <w:color w:val="5A7D3A"/>
          <w:sz w:val="18"/>
        </w:rPr>
        <w:t>https://pubmed.ncbi.nlm.nih.gov/42801959/</w:t>
      </w:r>
    </w:p>
    <w:p>
      <w:pPr>
        <w:pStyle w:val="Heading2"/>
      </w:pPr>
      <w:r>
        <w:t>Schlafstörungen und Müdigkeit bei Oropharyngeal-Karzinom-Radiotherapie-Überlebenden korrelieren mit Gesamtüberleben</w:t>
      </w:r>
    </w:p>
    <w:p>
      <w:r>
        <w:rPr>
          <w:i/>
          <w:color w:val="666666"/>
          <w:sz w:val="18"/>
        </w:rPr>
        <w:t>Carevic G et al.  ·  Radiother Oncol  ·  26.09.2026  ·  PMID 42800678</w:t>
      </w:r>
    </w:p>
    <w:p>
      <w:r>
        <w:t>Prospektive Longitudinalkohorte (372 Patienten mit Oropharyngeal-Karzinom unter kurativer Strahlentherapie ± Chemotherapie) zum Symptom-Verlauf und Überleben anhand patientenberichteter Outcomes (MDASI-HN).</w:t>
      </w:r>
    </w:p>
    <w:p>
      <w:r>
        <w:rPr>
          <w:b/>
        </w:rPr>
        <w:t xml:space="preserve">Ergebnis: </w:t>
      </w:r>
      <w:r>
        <w:t>Schwere Müdigkeit, Schlafstörung und Schläfrigkeit erreichten Höhepunkt bei RT-Ende (26%, 15%, 18%) und normalisierten sich bis Monat 6. Schwere longitudinale Müdigkeit (HR 5,05), Schlafstörung (HR 3,86) und Schläfrigkeit (HR 8,24) waren unabhängig mit schlechterer Overall Survival assoziiert (p &lt; 0,05). Effekt blieb nach multivariater Anpassung signifikant.</w:t>
      </w:r>
    </w:p>
    <w:p>
      <w:r>
        <w:rPr>
          <w:b/>
          <w:sz w:val="19"/>
        </w:rPr>
        <w:t xml:space="preserve">Übertragbarkeit: </w:t>
      </w:r>
      <w:r>
        <w:rPr>
          <w:sz w:val="19"/>
        </w:rPr>
        <w:t>USA-Tertiary Center; Symptom-basierte Risikoidentifikation übertragbar auf deutsche Nachsorge-Protokolle</w:t>
      </w:r>
    </w:p>
    <w:p>
      <w:r>
        <w:rPr>
          <w:color w:val="5A7D3A"/>
          <w:sz w:val="18"/>
        </w:rPr>
        <w:t>https://pubmed.ncbi.nlm.nih.gov/42800678/</w:t>
      </w:r>
    </w:p>
    <w:p>
      <w:pPr>
        <w:pStyle w:val="Heading2"/>
      </w:pPr>
      <w:r>
        <w:t>Präzisionsmedizin bei ungleicher Zugangsverteilung: Global-Audit zeigt massive Lücken zwischen Anspruch und Versorgung</w:t>
      </w:r>
    </w:p>
    <w:p>
      <w:r>
        <w:rPr>
          <w:i/>
          <w:color w:val="666666"/>
          <w:sz w:val="18"/>
        </w:rPr>
        <w:t>Casolino R et al.  ·  Lancet Oncol  ·  25.09.2026  ·  PMID 42790448</w:t>
      </w:r>
    </w:p>
    <w:p>
      <w:r>
        <w:t>Lancet-Onkologie-Kommission analysierte die globale Lage der Krebsgenetik und Präzisionsmedizin und bewertete Implementierungsbarrieren, Ungleichheiten und den Nutzen biomarker-gestützter Therapien.</w:t>
      </w:r>
    </w:p>
    <w:p>
      <w:r>
        <w:rPr>
          <w:b/>
        </w:rPr>
        <w:t xml:space="preserve">Ergebnis: </w:t>
      </w:r>
      <w:r>
        <w:t>Nur wenige validierte Biomarker-Therapie-Paare zeigen konsistente klinische Gewinne; umfassendere genomische Profiling-Ansätze erweitern Optionen für Patienten, doch profitiert nur ein kleiner Anteil von angepasster Therapie. Massive Ungleichheiten bei Zugang zur Genomik und Präzisionsmedizin bestehen länder- und populationsübergreifend. Die Studie liefert ein Implementierungs-Framework für gerechte, nachhaltige Skalierung.</w:t>
      </w:r>
    </w:p>
    <w:p>
      <w:r>
        <w:rPr>
          <w:b/>
          <w:sz w:val="19"/>
        </w:rPr>
        <w:t xml:space="preserve">Übertragbarkeit: </w:t>
      </w:r>
      <w:r>
        <w:rPr>
          <w:sz w:val="19"/>
        </w:rPr>
        <w:t>Deutsches Gesundheitssystem: zentral für Zertifizierung der Zentren und AMNOG-Bewertung</w:t>
      </w:r>
    </w:p>
    <w:p>
      <w:r>
        <w:rPr>
          <w:color w:val="5A7D3A"/>
          <w:sz w:val="18"/>
        </w:rPr>
        <w:t>https://pubmed.ncbi.nlm.nih.gov/42790448/</w:t>
      </w:r>
    </w:p>
    <w:p>
      <w:pPr>
        <w:pStyle w:val="Heading2"/>
      </w:pPr>
      <w:r>
        <w:t>Gesamtüberleben als primärer Endpunkt in Phase-III-Onkologie-Studien: Metaanalyse zeigt konsistente Gewinne</w:t>
      </w:r>
    </w:p>
    <w:p>
      <w:r>
        <w:rPr>
          <w:i/>
          <w:color w:val="666666"/>
          <w:sz w:val="18"/>
        </w:rPr>
        <w:t>Sherry AD et al.  ·  Oncologist  ·  09.09.2026  ·  PMID 42789933</w:t>
      </w:r>
    </w:p>
    <w:p>
      <w:r>
        <w:t>OPTIMA-Metaanalyse mit individualisierten Patientendaten von 159 Phase-III-Studien mit Gesamt-Überleben als primärem Endpunkt (104.740 Patienten).</w:t>
      </w:r>
    </w:p>
    <w:p>
      <w:r>
        <w:rPr>
          <w:b/>
        </w:rPr>
        <w:t xml:space="preserve">Ergebnis: </w:t>
      </w:r>
      <w:r>
        <w:t>Experimentelle Arme zeigten im Zwei-Stufen-Cox-Modell verbesserte Overall Survival (Hazard Ratio 0,87; 95%-KI 0,85–0,89; p &lt; 0,0001), bestätigt im einstufigen stratifizierten Modell (HR 0,88; 95%-KI 0,85–0,90). Befund dokumentiert, dass randomisierte Phase-III-Studien mit OS-Primärendpunkt konsistent therapeutische Fortschritte nachweisen.</w:t>
      </w:r>
    </w:p>
    <w:p>
      <w:r>
        <w:rPr>
          <w:b/>
          <w:sz w:val="19"/>
        </w:rPr>
        <w:t xml:space="preserve">Übertragbarkeit: </w:t>
      </w:r>
      <w:r>
        <w:rPr>
          <w:sz w:val="19"/>
        </w:rPr>
        <w:t>Multinationale Studienpopulation; Befunde unterstützen Regulierungs- und Finanzierungsprioritäten für OS-fokussierte Trials</w:t>
      </w:r>
    </w:p>
    <w:p>
      <w:r>
        <w:rPr>
          <w:color w:val="5A7D3A"/>
          <w:sz w:val="18"/>
        </w:rPr>
        <w:t>https://pubmed.ncbi.nlm.nih.gov/42789933/</w:t>
      </w:r>
    </w:p>
    <w:p>
      <w:pPr>
        <w:pStyle w:val="Heading2"/>
      </w:pPr>
      <w:r>
        <w:t>Alkoholkonsum und Kolorektalkarzinom-Risiko bei Prä-Diabetes und Diabetes: Südkoreanische Kohorten zeigen Synergien</w:t>
      </w:r>
    </w:p>
    <w:p>
      <w:r>
        <w:rPr>
          <w:i/>
          <w:color w:val="666666"/>
          <w:sz w:val="18"/>
        </w:rPr>
        <w:t>Kim TS et al.  ·  J Natl Cancer Inst  ·  24.09.2026  ·  PMID 42786582</w:t>
      </w:r>
    </w:p>
    <w:p>
      <w:r>
        <w:t>Nationale südkoreanische Kohortenstudie (4,475.492 Erwachsene, Median-Follow-up 9,33 Jahre) zur Dosis-Wirkung zwischen Alkoholkonsum und Kolorektalkrebs-Inzidenz nach glykämischem Status.</w:t>
      </w:r>
    </w:p>
    <w:p>
      <w:r>
        <w:rPr>
          <w:b/>
        </w:rPr>
        <w:t xml:space="preserve">Ergebnis: </w:t>
      </w:r>
      <w:r>
        <w:t>51.592 CRC-Fälle dokumentiert. Leichter bis mäßiger Alkoholkonsum erhöhte CRC-Risiko synergistisch bei Prä-Diabetes (HR 1,23; 95%-KI 1,19–1,27; Synergieindex 1,72) und Diabetes (HR 1,48; 95%-KI 1,42–1,54; Synergieindex 2,04). Dose-abhängige lineare Assoziation über alle kolorektalen Subsites, steiler bei Diabetes.</w:t>
      </w:r>
    </w:p>
    <w:p>
      <w:r>
        <w:rPr>
          <w:b/>
          <w:sz w:val="19"/>
        </w:rPr>
        <w:t xml:space="preserve">Übertragbarkeit: </w:t>
      </w:r>
      <w:r>
        <w:rPr>
          <w:sz w:val="19"/>
        </w:rPr>
        <w:t>Südkorea, hohes Screening-Aufkommen; Prävention bei Stoffwechselvorstufen setzt patientenrelevante Endpunkte voraus</w:t>
      </w:r>
    </w:p>
    <w:p>
      <w:r>
        <w:rPr>
          <w:color w:val="5A7D3A"/>
          <w:sz w:val="18"/>
        </w:rPr>
        <w:t>https://pubmed.ncbi.nlm.nih.gov/42786582/</w:t>
      </w:r>
    </w:p>
    <w:p>
      <w:pPr>
        <w:pStyle w:val="Heading2"/>
      </w:pPr>
      <w:r>
        <w:t>KI-Modelle zur Risikoprognose in der Magenkrebsnachsorge: Transfernutzen unklar</w:t>
      </w:r>
    </w:p>
    <w:p>
      <w:r>
        <w:rPr>
          <w:i/>
          <w:color w:val="666666"/>
          <w:sz w:val="18"/>
        </w:rPr>
        <w:t>Rabasco Meneghetti A  ·  Ann Oncol  ·  Okt. 2026  ·  PMID 42760040</w:t>
      </w:r>
    </w:p>
    <w:p>
      <w:r>
        <w:t>Kommentar zu DeepComp, einem KI-System für postoperative Risikostratifizierung beim Magenkarzinom; erörtert Vorhersagekompetenz und Umsetzungserfordernisse.</w:t>
      </w:r>
    </w:p>
    <w:p>
      <w:r>
        <w:rPr>
          <w:b/>
        </w:rPr>
        <w:t xml:space="preserve">Ergebnis: </w:t>
      </w:r>
      <w:r>
        <w:t>Der Kommentar diskutiert Chancen maschineller Lernverfahren zur Risikoklassifizierung, warnt aber vor Interpretationsfallen und nennt fehlende Validierung in prospektiven Kohorten als zentrale Hürde für klinische Adoption.</w:t>
      </w:r>
    </w:p>
    <w:p>
      <w:r>
        <w:rPr>
          <w:b/>
          <w:sz w:val="19"/>
        </w:rPr>
        <w:t xml:space="preserve">Übertragbarkeit: </w:t>
      </w:r>
      <w:r>
        <w:rPr>
          <w:sz w:val="19"/>
        </w:rPr>
        <w:t>Deutschland: Validierung in Zentren notwendig vor Einsatz in AMNOG- und Zertifizierungskontexten</w:t>
      </w:r>
    </w:p>
    <w:p>
      <w:r>
        <w:rPr>
          <w:color w:val="5A7D3A"/>
          <w:sz w:val="18"/>
        </w:rPr>
        <w:t>https://pubmed.ncbi.nlm.nih.gov/42760040/</w:t>
      </w:r>
    </w:p>
    <w:p>
      <w:pPr>
        <w:pStyle w:val="Heading1"/>
      </w:pPr>
      <w:r>
        <w:t>Aufgenommen am 27.09.2026</w:t>
      </w:r>
    </w:p>
    <w:p>
      <w:pPr>
        <w:pStyle w:val="Heading2"/>
      </w:pPr>
      <w:r>
        <w:t>Single-Fraction SABR gleichwertig zu Multi-Fraction bei frühem NSCLC</w:t>
      </w:r>
    </w:p>
    <w:p>
      <w:r>
        <w:rPr>
          <w:i/>
          <w:color w:val="666666"/>
          <w:sz w:val="18"/>
        </w:rPr>
        <w:t>Aguirre-Meneses KA et al.  ·  Radiother Oncol  ·  26.09.2026  ·  PMID 42800679</w:t>
      </w:r>
    </w:p>
    <w:p>
      <w:r>
        <w:t>Bevölkerungsbasierte retrospektive Analyse aus British Columbia (2021-2024): 814 Läsionen bei 778 Patienten mit peripher gelegenem T1-2N0-NSCLC, behandelt mit Single-Fraction (SF) oder Multi-Fraction (MF) SABR, Nachverfolgung median 25,8 Monate.</w:t>
      </w:r>
    </w:p>
    <w:p>
      <w:r>
        <w:rPr>
          <w:b/>
        </w:rPr>
        <w:t xml:space="preserve">Ergebnis: </w:t>
      </w:r>
      <w:r>
        <w:t>Keine signifikanten Unterschiede in 2-Jahres-Lokalversagen (3,5% vs. 4,8%, p=0,11) oder 2-Jahres-Gesamtüberleben (79,3% vs. 79,4%, p=0,62). Grad-2-Toxizität 11,5% vs. 12,4%, Grad-3-5-Toxizität 1,5% vs. 3,9% (p=0,08), Brustwandtoxizität identisch 5,0%. SF-SABR war kein unabhängiger Prädiktor für Lokalversagen oder Toxizität.</w:t>
      </w:r>
    </w:p>
    <w:p>
      <w:r>
        <w:rPr>
          <w:b/>
          <w:sz w:val="19"/>
        </w:rPr>
        <w:t xml:space="preserve">Übertragbarkeit: </w:t>
      </w:r>
      <w:r>
        <w:rPr>
          <w:sz w:val="19"/>
        </w:rPr>
        <w:t>Kanadisches System mit vergleichbarem öffentlichem Versicherungsauftrag; Kostenwirksamkeit für deutsche Strahlenkliniken relevant.</w:t>
      </w:r>
    </w:p>
    <w:p>
      <w:r>
        <w:rPr>
          <w:color w:val="5A7D3A"/>
          <w:sz w:val="18"/>
        </w:rPr>
        <w:t>https://pubmed.ncbi.nlm.nih.gov/42800679/</w:t>
      </w:r>
    </w:p>
    <w:p>
      <w:pPr>
        <w:pStyle w:val="Heading2"/>
      </w:pPr>
      <w:r>
        <w:t>Tumor-First DNA-Testing effizienter als Familienanamnese für BRCA-Screening</w:t>
      </w:r>
    </w:p>
    <w:p>
      <w:r>
        <w:rPr>
          <w:i/>
          <w:color w:val="666666"/>
          <w:sz w:val="18"/>
        </w:rPr>
        <w:t>Kloots ISH et al.  ·  Eur J Cancer  ·  19.09.2026  ·  PMID 42800309</w:t>
      </w:r>
    </w:p>
    <w:p>
      <w:r>
        <w:t>Prospektive Studie (PROMPT) mit 452 Patienten mit metastasiertem Prostatakarzinom: Vergleich tumor-first-workflow (TFW) versus familienanamnese-basierte Testung für Keimbahnvarianten in BRCA1/2, PALB2, ATM, CHEK2.</w:t>
      </w:r>
    </w:p>
    <w:p>
      <w:r>
        <w:rPr>
          <w:b/>
        </w:rPr>
        <w:t xml:space="preserve">Ergebnis: </w:t>
      </w:r>
      <w:r>
        <w:t>TFW identifizierte 22/36 (61%) aller Träger pathogener Keimbahnvarianten mit technischer Sensitivität von 97%. Gegenüber modellierter Familienanamnese-Strategie (8 vs. 22 Träger identifiziert; p&lt;0,001) war TFW deutlich überlegen mit positiv-prädiktivem Wert 51% vs. 13% und niedrigerer Anzahl zum Testen (2,0 vs. 7,9). Kosten pro entdeckter Variante: 998 € vs. 12.246 €.</w:t>
      </w:r>
    </w:p>
    <w:p>
      <w:r>
        <w:rPr>
          <w:b/>
          <w:sz w:val="19"/>
        </w:rPr>
        <w:t xml:space="preserve">Übertragbarkeit: </w:t>
      </w:r>
      <w:r>
        <w:rPr>
          <w:sz w:val="19"/>
        </w:rPr>
        <w:t>Niederländisches Gesundheitssystem mit direkter Übertragbarkeit auf deutsches Mutationsscreening-Protokoll.</w:t>
      </w:r>
    </w:p>
    <w:p>
      <w:r>
        <w:rPr>
          <w:color w:val="5A7D3A"/>
          <w:sz w:val="18"/>
        </w:rPr>
        <w:t>https://pubmed.ncbi.nlm.nih.gov/42800309/</w:t>
      </w:r>
    </w:p>
    <w:p>
      <w:pPr>
        <w:pStyle w:val="Heading2"/>
      </w:pPr>
      <w:r>
        <w:t>Spirituelle Überzeugungen hemmen Studienteilnahme schwarzer Krebspatienten massiv</w:t>
      </w:r>
    </w:p>
    <w:p>
      <w:r>
        <w:rPr>
          <w:i/>
          <w:color w:val="666666"/>
          <w:sz w:val="18"/>
        </w:rPr>
        <w:t>Gomez C et al.  ·  Int J Radiat Oncol Biol Phys  ·  25.09.2026  ·  PMID 42790602</w:t>
      </w:r>
    </w:p>
    <w:p>
      <w:r>
        <w:t>Querschnittstudie an 172 von 247 Patienten (70% Teilnahmequote) nach definitiver Strahlentherapie für GI-, thorakale, gynäkologische und HNO-Malignome (Oktober 2023–Februar 2024): Psychosoziale Faktoren und Studieneinschlusshindernisse.</w:t>
      </w:r>
    </w:p>
    <w:p>
      <w:r>
        <w:rPr>
          <w:b/>
        </w:rPr>
        <w:t xml:space="preserve">Ergebnis: </w:t>
      </w:r>
      <w:r>
        <w:t>Schwarze Patienten (n=42, 24%) waren weniger verheiratet (16,7% vs. 68,8%; p&lt;0,001), geringer gebildet und hatten niedrigeres Einkommen ($69.318 vs. $106.823; p&lt;0,001). Obwohl gleich viele zur Teilnahme eingeladen (17,9% vs. 21,7%), stimmten weniger schwarze Patienten zu (17,1% vs. 31,9%; p&lt;0,001). Höhere Religiosität senkte Teilnahmebereitschaft um 44% (p=0,036). 48% schwarzer vs. 17,3% weißer Patienten glaubten, dass Gott Heilung bestimmt (p=0,024); 18% schwarzer vs. 3,6% weißer Patienten misstrauten klinischer Forschung (p=0,001).</w:t>
      </w:r>
    </w:p>
    <w:p>
      <w:r>
        <w:rPr>
          <w:b/>
          <w:sz w:val="19"/>
        </w:rPr>
        <w:t xml:space="preserve">Übertragbarkeit: </w:t>
      </w:r>
      <w:r>
        <w:rPr>
          <w:sz w:val="19"/>
        </w:rPr>
        <w:t>USA - Disparitäten-fokussiertes qualitatives Forschungsdesign; deutsche Rekrutierungsstrategien müssen kulturelle und religiöse Faktoren adressieren.</w:t>
      </w:r>
    </w:p>
    <w:p>
      <w:r>
        <w:rPr>
          <w:color w:val="5A7D3A"/>
          <w:sz w:val="18"/>
        </w:rPr>
        <w:t>https://pubmed.ncbi.nlm.nih.gov/42790602/</w:t>
      </w:r>
    </w:p>
    <w:p>
      <w:pPr>
        <w:pStyle w:val="Heading2"/>
      </w:pPr>
      <w:r>
        <w:t>Komplexe Genomik verzögert Zugang zu Essential Cancer Medicines global</w:t>
      </w:r>
    </w:p>
    <w:p>
      <w:r>
        <w:rPr>
          <w:i/>
          <w:color w:val="666666"/>
          <w:sz w:val="18"/>
        </w:rPr>
        <w:t>Vokinger KN et al.  ·  Lancet Oncol  ·  25.09.2026  ·  PMID 42790449</w:t>
      </w:r>
    </w:p>
    <w:p>
      <w:r>
        <w:t>Retrospektive Analyse der Verfügbarkeit von 41 Essential Cancer Medicines auf der WHO-Liste zwischen 2002 und 2023 in 71 Ländern, unterschieden nach Anforderung an Immunhistochemie, komplexe Genomik oder keine Diagnostik.</w:t>
      </w:r>
    </w:p>
    <w:p>
      <w:r>
        <w:rPr>
          <w:b/>
        </w:rPr>
        <w:t xml:space="preserve">Ergebnis: </w:t>
      </w:r>
      <w:r>
        <w:t>Arzneien, die komplexe genomische Diagnostik erfordern, zeigen 65% niedrigere Aufnahmevolumina als solche ohne Diagnostik-Anforderung (Regressionskoeffizient −0,453, p&lt;0,0001). In Ländern mit niedrigem BIP (&lt;11.000 USD) werden nur 44% der Arzneien mit komplexer Genomik eingesetzt, gegenüber 79% in Ländern mit hohem BIP (&gt;33.000 USD). Die Aufnahme zeigt, dass WHO-EML-Listung allein für Zugang insufficient ist.</w:t>
      </w:r>
    </w:p>
    <w:p>
      <w:r>
        <w:rPr>
          <w:b/>
          <w:sz w:val="19"/>
        </w:rPr>
        <w:t xml:space="preserve">Übertragbarkeit: </w:t>
      </w:r>
      <w:r>
        <w:rPr>
          <w:sz w:val="19"/>
        </w:rPr>
        <w:t>Zeigt strukturelle Barrieren für Precision Oncology in Ländern mit begrenzter diagnostischer Infrastruktur; international vergleichbar.</w:t>
      </w:r>
    </w:p>
    <w:p>
      <w:r>
        <w:rPr>
          <w:color w:val="5A7D3A"/>
          <w:sz w:val="18"/>
        </w:rPr>
        <w:t>https://pubmed.ncbi.nlm.nih.gov/42790449/</w:t>
      </w:r>
    </w:p>
    <w:p>
      <w:pPr>
        <w:pStyle w:val="Heading2"/>
      </w:pPr>
      <w:r>
        <w:t>Venetoclax + Inotuzumab ozogamicin erzielt 95% komplette Remission im rezidivierten/refraktären B-ALL</w:t>
      </w:r>
    </w:p>
    <w:p>
      <w:r>
        <w:rPr>
          <w:i/>
          <w:color w:val="666666"/>
          <w:sz w:val="18"/>
        </w:rPr>
        <w:t>Luskin MR et al.  ·  Blood  ·  25.09.2026  ·  PMID 42789493</w:t>
      </w:r>
    </w:p>
    <w:p>
      <w:r>
        <w:t>Phase-1-Studie (23 Patienten, 15 ALL, 8 LBL): Kombination BCL-2-Inhibitor Venetoclax (VEN 400 mg/Tag 21 Tage) plus CD22-Antikörper-Wirkstoff-Konjugat Inotuzumab ozogamicin (Standard-Dosis) bei rezidiviertem/refraktärem CD22+ B-ALL/lymphoblastischem Lymphom.</w:t>
      </w:r>
    </w:p>
    <w:p>
      <w:r>
        <w:rPr>
          <w:b/>
        </w:rPr>
        <w:t xml:space="preserve">Ergebnis: </w:t>
      </w:r>
      <w:r>
        <w:t>Von 22 evaluablen Patienten erreichten 21 (95,5%) komplette Remission, 19 nach einem Zyklus. Messbare Resterkrankung (MRD) negativ in 88,9% (Flow &lt;10⁻⁴) und 73,7% (NGS &lt;10⁻⁶). Zwei-Jahres-krankheitsfreies Überleben 48% (95% KI 24–72%), medianes Gesamtüberleben nicht erreicht. Nebenwirkungen Grad ≥3: Thrombozytopenie 43,5%, Neutropenie 39,1%, sinusoidales obstruktives Syndrom 4 Patienten. MRD-Negativität korrelierte mit BCL-2-Abhängigkeit; Progression verband sich mit MCL-1-Abhängigkeit, CD22-Escape, ABCB1-Expression.</w:t>
      </w:r>
    </w:p>
    <w:p>
      <w:r>
        <w:rPr>
          <w:b/>
          <w:sz w:val="19"/>
        </w:rPr>
        <w:t xml:space="preserve">Übertragbarkeit: </w:t>
      </w:r>
      <w:r>
        <w:rPr>
          <w:sz w:val="19"/>
        </w:rPr>
        <w:t>USA-Zentrum, Phase 1; internationale Wirkstoffkombination, Übertragung auf Deutschland abhängig von Zulassung und lokaler ALL-Protokoll-Integration.</w:t>
      </w:r>
    </w:p>
    <w:p>
      <w:r>
        <w:rPr>
          <w:color w:val="5A7D3A"/>
          <w:sz w:val="18"/>
        </w:rPr>
        <w:t>https://pubmed.ncbi.nlm.nih.gov/42789493/</w:t>
      </w:r>
    </w:p>
    <w:p>
      <w:pPr>
        <w:pStyle w:val="Heading2"/>
      </w:pPr>
      <w:r>
        <w:t>Körperliche Aktivität verbessert Krankheitsfreies Überleben bei ctDNA-negativem Kolonkarzinom</w:t>
      </w:r>
    </w:p>
    <w:p>
      <w:r>
        <w:rPr>
          <w:i/>
          <w:color w:val="666666"/>
          <w:sz w:val="18"/>
        </w:rPr>
        <w:t>Zhang GQ et al.  ·  J Natl Cancer Inst  ·  24.09.2026  ·  PMID 42786576</w:t>
      </w:r>
    </w:p>
    <w:p>
      <w:r>
        <w:t>Post-hoc-Analyse der Phase-III-Studie CALGB/SWOG 80702 (763 Patienten Stage III Kolonkarzinom): Assoziation von körperlicher Aktivität (gemessen in MET-Stunden/Woche) und postoperativem Überleben, stratifiziert nach zirkulierender Tumor-DNA (ctDNA).</w:t>
      </w:r>
    </w:p>
    <w:p>
      <w:r>
        <w:rPr>
          <w:b/>
        </w:rPr>
        <w:t xml:space="preserve">Ergebnis: </w:t>
      </w:r>
      <w:r>
        <w:t>Bei ctDNA-negativen Patienten zeigten moderate (HR 0,58, 95% KI 0,37–0,91) und hohe körperliche Aktivität (HR 0,49, 95% KI 0,27–0,86) versus Inaktivität verbessertes krankheitsfreies Überleben. Bei ctDNA-positiven Patienten war körperliche Aktivität nicht prognostisch (p&gt;0,05). Physische Aktivität plus adjuvantes Celecoxib zeigte Vorteil in beiden Gruppen (ctDNA-positiv: HR 0,29, 95% KI 0,15–0,57).</w:t>
      </w:r>
    </w:p>
    <w:p>
      <w:r>
        <w:rPr>
          <w:b/>
          <w:sz w:val="19"/>
        </w:rPr>
        <w:t xml:space="preserve">Übertragbarkeit: </w:t>
      </w:r>
      <w:r>
        <w:rPr>
          <w:sz w:val="19"/>
        </w:rPr>
        <w:t>Nordamerikanische Kohortenstudie; ctDNA-Analytik national nur in Zentren verfügbar, Aktivitätsinterventionen aber universell umsetzbar.</w:t>
      </w:r>
    </w:p>
    <w:p>
      <w:r>
        <w:rPr>
          <w:color w:val="5A7D3A"/>
          <w:sz w:val="18"/>
        </w:rPr>
        <w:t>https://pubmed.ncbi.nlm.nih.gov/42786576/</w:t>
      </w:r>
    </w:p>
    <w:p>
      <w:pPr>
        <w:pStyle w:val="Heading2"/>
      </w:pPr>
      <w:r>
        <w:t>Evorpacept + Trastuzumab/Ramucirumab/Paclitaxel verbessert Ansprechrate im HER2+ Magenkarzinom</w:t>
      </w:r>
    </w:p>
    <w:p>
      <w:r>
        <w:rPr>
          <w:i/>
          <w:color w:val="666666"/>
          <w:sz w:val="18"/>
        </w:rPr>
        <w:t>Shitara K et al.  ·  Nat Med  ·  24.09.2026  ·  PMID 42786305</w:t>
      </w:r>
    </w:p>
    <w:p>
      <w:r>
        <w:t>Phase-2-Portion der randomisierten Studie ASPEN-06 (127 Patienten mit vorbehandeltem HER2-überexprimiertem metastasiertem Magen-/Ösophaguskarzinom): Evorpacept (CD47-SIRPα-Blocker) plus Standard-Tripel (TRP) versus TRP allein.</w:t>
      </w:r>
    </w:p>
    <w:p>
      <w:r>
        <w:rPr>
          <w:b/>
        </w:rPr>
        <w:t xml:space="preserve">Ergebnis: </w:t>
      </w:r>
      <w:r>
        <w:t>Primärer Endpunkt: Objektive Ansprechrate (ORR) investigator-assessed 40,3% (Evo+TRP) vs. 26,6% (TRP) in ITT-Population (Differenz 13,7%, p&lt;0,001), in Fresh-Biopsy-HER2+-Subgruppe 54,8% vs. 23,1% (Differenz 31,7%). Differenzen überschritten Schwellen, aber vs. historischem Benchmark (30%) verfehlte nur Fresh-Biopsy-Gruppe Signifikanz knapp (p=0,030 one-sided). Toxizitäten vergleichbar mit etabliertem Profil.</w:t>
      </w:r>
    </w:p>
    <w:p>
      <w:r>
        <w:rPr>
          <w:b/>
          <w:sz w:val="19"/>
        </w:rPr>
        <w:t xml:space="preserve">Übertragbarkeit: </w:t>
      </w:r>
      <w:r>
        <w:rPr>
          <w:sz w:val="19"/>
        </w:rPr>
        <w:t>Internationale Phase-2-Studie; Zulassungsfähigkeit zu klären, Übertragung auf Deutschland abhängig von Zulassung und Amnog-Bewertung.</w:t>
      </w:r>
    </w:p>
    <w:p>
      <w:r>
        <w:rPr>
          <w:color w:val="5A7D3A"/>
          <w:sz w:val="18"/>
        </w:rPr>
        <w:t>https://pubmed.ncbi.nlm.nih.gov/42786305/</w:t>
      </w:r>
    </w:p>
    <w:p>
      <w:pPr>
        <w:pStyle w:val="Heading1"/>
      </w:pPr>
      <w:r>
        <w:t>Aufgenommen am 26.09.2026</w:t>
      </w:r>
    </w:p>
    <w:p>
      <w:pPr>
        <w:pStyle w:val="Heading2"/>
      </w:pPr>
      <w:r>
        <w:t>Reduzierte Dosis für elektive Halsknotenbest. in Nasopharynxkarzinom: 5-Jahres-Sicherheit</w:t>
      </w:r>
    </w:p>
    <w:p>
      <w:r>
        <w:rPr>
          <w:i/>
          <w:color w:val="666666"/>
          <w:sz w:val="18"/>
        </w:rPr>
        <w:t>Chen X et al.  ·  Radiother Oncol  ·  25.09.2026  ·  PMID 42790787</w:t>
      </w:r>
    </w:p>
    <w:p>
      <w:r>
        <w:t>Retrospektive Kohorte mit 752 Patienten zu Langzeiteffizienz und Organschonung bei De-Eskalation der elektiven Halsknotenbestrahlung von 50 Gy auf 45 Gy EQD2 bei intensitätsmodulierter Radiotherapie.</w:t>
      </w:r>
    </w:p>
    <w:p>
      <w:r>
        <w:rPr>
          <w:b/>
        </w:rPr>
        <w:t xml:space="preserve">Ergebnis: </w:t>
      </w:r>
      <w:r>
        <w:t>5-Jahres-Regionalkontrollen 97,3 %, Gesamtüberleben 89,7 %. Nur 0,7 % isolierte Rezidive in der 45-Gy-Dosis. Vergleichspläne zeigten signifikante Dosisreduktion für alle Risikoorgane (p &lt; 0,001) mit bedeutsamen NTCP-Reduktionen für Parotisfunktionsverlust, Dysphagie und Hypothyreose (alle p &lt; 0,001).</w:t>
      </w:r>
    </w:p>
    <w:p>
      <w:r>
        <w:rPr>
          <w:b/>
          <w:sz w:val="19"/>
        </w:rPr>
        <w:t xml:space="preserve">Übertragbarkeit: </w:t>
      </w:r>
      <w:r>
        <w:rPr>
          <w:sz w:val="19"/>
        </w:rPr>
        <w:t>Chinesische Daten, internationales Standard-Bestrahlungsprotokoll, direkt übertragbar.</w:t>
      </w:r>
    </w:p>
    <w:p>
      <w:r>
        <w:rPr>
          <w:color w:val="5A7D3A"/>
          <w:sz w:val="18"/>
        </w:rPr>
        <w:t>https://pubmed.ncbi.nlm.nih.gov/42790787/</w:t>
      </w:r>
    </w:p>
    <w:p>
      <w:pPr>
        <w:pStyle w:val="Heading2"/>
      </w:pPr>
      <w:r>
        <w:t>Iberdomid + Daratumumab gegen Bortezomib bei Myelom: MRD-negative Remissionen verdoppelt</w:t>
      </w:r>
    </w:p>
    <w:p>
      <w:r>
        <w:rPr>
          <w:i/>
          <w:color w:val="666666"/>
          <w:sz w:val="18"/>
        </w:rPr>
        <w:t>Lonial S et al.  ·  Lancet Oncol  ·  25.09.2026  ·  PMID 42790445</w:t>
      </w:r>
    </w:p>
    <w:p>
      <w:r>
        <w:t>Phase-3-Studie (EXCALIBER-RRMM) mit 420 Patienten, randomisiert zum Vergleich Iberdomid/Daratumumab/Dexamethason vs. Daratumumab/Bortezomib/Dexamethason bei rezidiviertem/refraktärem Myelom.</w:t>
      </w:r>
    </w:p>
    <w:p>
      <w:r>
        <w:rPr>
          <w:b/>
        </w:rPr>
        <w:t xml:space="preserve">Ergebnis: </w:t>
      </w:r>
      <w:r>
        <w:t>MRD-negative komplette Remissionen (Fluoreszenzfluss &lt;10−5) 41 % vs. 21 % (odds ratio 2,8; 95%-KI 1,8–4,3; p &lt; 0,0001). Grad-3/4-Nebenwirkungen in 92 % vs. 70 % (Neutropenie 84 % vs. 11 %, Infektionen 39 % vs. 22 %), managebar mit Supportivtherapie.</w:t>
      </w:r>
    </w:p>
    <w:p>
      <w:r>
        <w:rPr>
          <w:b/>
          <w:sz w:val="19"/>
        </w:rPr>
        <w:t xml:space="preserve">Übertragbarkeit: </w:t>
      </w:r>
      <w:r>
        <w:rPr>
          <w:sz w:val="19"/>
        </w:rPr>
        <w:t>Internationale Studie, zentraler europäischer Einsatz in AMNOG-Verfahren zu prüfen.</w:t>
      </w:r>
    </w:p>
    <w:p>
      <w:r>
        <w:rPr>
          <w:color w:val="5A7D3A"/>
          <w:sz w:val="18"/>
        </w:rPr>
        <w:t>https://pubmed.ncbi.nlm.nih.gov/42790445/</w:t>
      </w:r>
    </w:p>
    <w:p>
      <w:pPr>
        <w:pStyle w:val="Heading2"/>
      </w:pPr>
      <w:r>
        <w:t>Online adaptive Radiotherapie bei Prostatakarzinom: weniger Toxizität, bessere Lebensqualität</w:t>
      </w:r>
    </w:p>
    <w:p>
      <w:r>
        <w:rPr>
          <w:i/>
          <w:color w:val="666666"/>
          <w:sz w:val="18"/>
        </w:rPr>
        <w:t>Kalinauskaite G et al.  ·  Strahlenther Onkol  ·  25.09.2026  ·  PMID 42789071</w:t>
      </w:r>
    </w:p>
    <w:p>
      <w:r>
        <w:t>Prospektive Studie zum Vergleich der akuten Toxizität und Lebensqualität bei adaptiver MRT-gestützter Online-Bestrahlung vs. konventioneller bildgestützter Radiotherapie bei Prostatakarzinom mit moderat hypofraktioniertem Schema.</w:t>
      </w:r>
    </w:p>
    <w:p>
      <w:r>
        <w:rPr>
          <w:b/>
        </w:rPr>
        <w:t xml:space="preserve">Ergebnis: </w:t>
      </w:r>
      <w:r>
        <w:t>Adaptive Radiotherapie war mit günstigerem gastrointestinalem Toxizitätsprofil assoziiert (niedrigere maximale Toxizitätsgrade; p = 0,028). Patienten der Vergleichsgruppe zeigten häufiger klinisch bedeutsame Verschlechterungen bei Fatigue (74 % vs. 37 %; p = 0,004), körperlicher Funktionsfähigkeit (27 % vs. 3 %; p = 0,009) und Rollenerfüllung (48,1 % vs. 22,9 %; p = 0,04).</w:t>
      </w:r>
    </w:p>
    <w:p>
      <w:r>
        <w:rPr>
          <w:b/>
          <w:sz w:val="19"/>
        </w:rPr>
        <w:t xml:space="preserve">Übertragbarkeit: </w:t>
      </w:r>
      <w:r>
        <w:rPr>
          <w:sz w:val="19"/>
        </w:rPr>
        <w:t>Deutsches Zentrumsmodell, Charité und Ulm, validierbar für deutsche Routineversorgung.</w:t>
      </w:r>
    </w:p>
    <w:p>
      <w:r>
        <w:rPr>
          <w:color w:val="5A7D3A"/>
          <w:sz w:val="18"/>
        </w:rPr>
        <w:t>https://pubmed.ncbi.nlm.nih.gov/42789071/</w:t>
      </w:r>
    </w:p>
    <w:p>
      <w:pPr>
        <w:pStyle w:val="Heading2"/>
      </w:pPr>
      <w:r>
        <w:t>Zentralisierte MRT-geführte adaptive Brachytherapie für Zervixkarzinom in Österreich: Durchführbarkeit und Ergebnisse</w:t>
      </w:r>
    </w:p>
    <w:p>
      <w:r>
        <w:rPr>
          <w:i/>
          <w:color w:val="666666"/>
          <w:sz w:val="18"/>
        </w:rPr>
        <w:t>Knoth J et al.  ·  Strahlenther Onkol  ·  25.09.2026  ·  PMID 42789070</w:t>
      </w:r>
    </w:p>
    <w:p>
      <w:r>
        <w:t>Retrospektive Kohortenstudie zur Machbarkeit eines österreichischen Zentranzugangsmodells mit dezentraler Perkutanstrahlung und zentralisierter MRT-gestützter adaptiver Brachytherapie bei 89 Patienten mit FIGO IB–IVA Zervixkarzinom (2018–2022).</w:t>
      </w:r>
    </w:p>
    <w:p>
      <w:r>
        <w:rPr>
          <w:b/>
        </w:rPr>
        <w:t xml:space="preserve">Ergebnis: </w:t>
      </w:r>
      <w:r>
        <w:t>3-Jahres-Gesamtüberleben 74 %, Lokalkontrollen 95 %, Beckenregionalkontrollen 95 %. Grad-≥3-Morbidität bei 26,1 %. Mediane Gesamtbehandlungsdauer 50 Tage. Durchführbarkeit und Qualität bestätigt, auch bei paraaortischen Metastasen (17 %).</w:t>
      </w:r>
    </w:p>
    <w:p>
      <w:r>
        <w:rPr>
          <w:b/>
          <w:sz w:val="19"/>
        </w:rPr>
        <w:t xml:space="preserve">Übertragbarkeit: </w:t>
      </w:r>
      <w:r>
        <w:rPr>
          <w:sz w:val="19"/>
        </w:rPr>
        <w:t>Österreichisches Verbundsystem direkt auf deutsche Zentrumslandschaft übertragbar.</w:t>
      </w:r>
    </w:p>
    <w:p>
      <w:r>
        <w:rPr>
          <w:color w:val="5A7D3A"/>
          <w:sz w:val="18"/>
        </w:rPr>
        <w:t>https://pubmed.ncbi.nlm.nih.gov/42789070/</w:t>
      </w:r>
    </w:p>
    <w:p>
      <w:pPr>
        <w:pStyle w:val="Heading2"/>
      </w:pPr>
      <w:r>
        <w:t>Frühe Palliativversorgung für afroamerikanische und rural wohnhafte Angehörige: Langzeitergebnisse</w:t>
      </w:r>
    </w:p>
    <w:p>
      <w:r>
        <w:rPr>
          <w:i/>
          <w:color w:val="666666"/>
          <w:sz w:val="18"/>
        </w:rPr>
        <w:t>Odom JN et al.  ·  J Natl Cancer Inst  ·  24.09.2026  ·  PMID 42786668</w:t>
      </w:r>
    </w:p>
    <w:p>
      <w:r>
        <w:t>Randomisierte Studie (ENABLE Cornerstone) bei 222 Angehörigen und 165 Patienten mit fortgeschrittenem Krebsleiden; Intervention: Laienkurs-geführte Palliativberatung für Pflegepersonen vs. Standardversorgung über 36–48 Wochen.</w:t>
      </w:r>
    </w:p>
    <w:p>
      <w:r>
        <w:rPr>
          <w:b/>
        </w:rPr>
        <w:t xml:space="preserve">Ergebnis: </w:t>
      </w:r>
      <w:r>
        <w:t>Pflegepersonen der Interventionsgruppe: niedrigere Anforderungsbelastung (Differenz −1,54; Cohen's d −0,41; p = 0,03) bei 36 Wochen. Patienten: niedriger depressive Symptome bei 36 Wochen (Differenz −1,53; p = 0,048) und bessere körperliche Lebensqualität bei 48 Wochen (Differenz +3,93; p = 0,02). Effekte bei Subgruppen mit strukturellen Zugangsbarrieren bedeutsam.</w:t>
      </w:r>
    </w:p>
    <w:p>
      <w:r>
        <w:rPr>
          <w:b/>
          <w:sz w:val="19"/>
        </w:rPr>
        <w:t xml:space="preserve">Übertragbarkeit: </w:t>
      </w:r>
      <w:r>
        <w:rPr>
          <w:sz w:val="19"/>
        </w:rPr>
        <w:t>USA, unterrepräsentierte Bevölkerungsgruppen; Modell für deutsche Versorgungslücken anwendbar.</w:t>
      </w:r>
    </w:p>
    <w:p>
      <w:r>
        <w:rPr>
          <w:color w:val="5A7D3A"/>
          <w:sz w:val="18"/>
        </w:rPr>
        <w:t>https://pubmed.ncbi.nlm.nih.gov/42786668/</w:t>
      </w:r>
    </w:p>
    <w:p>
      <w:pPr>
        <w:pStyle w:val="Heading2"/>
      </w:pPr>
      <w:r>
        <w:t>Keramidsynthese und YAP-Signalweg treiben Kolonkarzinom-Metastasen</w:t>
      </w:r>
    </w:p>
    <w:p>
      <w:r>
        <w:rPr>
          <w:i/>
          <w:color w:val="666666"/>
          <w:sz w:val="18"/>
        </w:rPr>
        <w:t>Goswami S et al.  ·  Science  ·  24.09.2026  ·  PMID 42784694</w:t>
      </w:r>
    </w:p>
    <w:p>
      <w:r>
        <w:t>Mechanistische Studie in Zellsystemen und Tiermodellen zur Rolle von de-novo-Keramidsynthese, Desaturase Degs1 und YAP-Signalweg in der Initiierung von Kolorektalkarzinom-Metastasen unter Einfluss diätetischen Fetts.</w:t>
      </w:r>
    </w:p>
    <w:p>
      <w:r>
        <w:rPr>
          <w:b/>
        </w:rPr>
        <w:t xml:space="preserve">Ergebnis: </w:t>
      </w:r>
      <w:r>
        <w:t>Dietäres Fett löst anhaltende Keramidakkumulation aus → YAP-Aktivierung über PP2A-Dephosphorylierung → YAP-DR-Programm mit Basp1-Expression. Degs1-Knockout reduzierten Keramidspiegel, YAP-Aktivität und Metastasierung ohne Primärtumor-Wachstum zu beeinflussen. Basp1-high-Zellen waren erforderlich für Metastasierungsseeding.</w:t>
      </w:r>
    </w:p>
    <w:p>
      <w:r>
        <w:rPr>
          <w:b/>
          <w:sz w:val="19"/>
        </w:rPr>
        <w:t xml:space="preserve">Übertragbarkeit: </w:t>
      </w:r>
      <w:r>
        <w:rPr>
          <w:sz w:val="19"/>
        </w:rPr>
        <w:t>USA-Daten, Grundlagenarbeit; therapeutisches Ansatzpotential (Keramid-Inhibition) für klinische Translation.</w:t>
      </w:r>
    </w:p>
    <w:p>
      <w:r>
        <w:rPr>
          <w:color w:val="5A7D3A"/>
          <w:sz w:val="18"/>
        </w:rPr>
        <w:t>https://pubmed.ncbi.nlm.nih.gov/42784694/</w:t>
      </w:r>
    </w:p>
    <w:p>
      <w:pPr>
        <w:pStyle w:val="Heading2"/>
      </w:pPr>
      <w:r>
        <w:t>IDH-mutantes Gliom: Hirngeometrie und Hypoxie strukturieren Tumororganisation</w:t>
      </w:r>
    </w:p>
    <w:p>
      <w:r>
        <w:rPr>
          <w:i/>
          <w:color w:val="666666"/>
          <w:sz w:val="18"/>
        </w:rPr>
        <w:t>Hoefflin R et al.  ·  Cancer Cell  ·  14.09.2026  ·  PMID 42735681</w:t>
      </w:r>
    </w:p>
    <w:p>
      <w:r>
        <w:t>Räumlich-translationale Studie kombiniert Einzelzell-Proteomik und räumliche Transkriptomik bei IDH-mutierten Gliomen über alle Tumorgrade hinweg, um organisatorische Prinzipien von Tumorprogression zu identifizieren.</w:t>
      </w:r>
    </w:p>
    <w:p>
      <w:r>
        <w:rPr>
          <w:b/>
        </w:rPr>
        <w:t xml:space="preserve">Ergebnis: </w:t>
      </w:r>
      <w:r>
        <w:t>Frühe Tumore: anatomisch-getriebene Organisation an weiß-grauer Substanzgrenze, Oligodendrozyten-Vorläufer (OPC)-ähnliche Zellen preferenziell dort selektioniert. Intermediate Tumore: Desorganisation mit wenigen Zell-Wechselwirkungen. Hochtgradige: Hypoxie-assoziierte Struktur ähnlich IDH-Wildtyp-Glioblastom. Zwei unabhängige räumliche Organisationsachsen.</w:t>
      </w:r>
    </w:p>
    <w:p>
      <w:r>
        <w:rPr>
          <w:b/>
          <w:sz w:val="19"/>
        </w:rPr>
        <w:t xml:space="preserve">Übertragbarkeit: </w:t>
      </w:r>
      <w:r>
        <w:rPr>
          <w:sz w:val="19"/>
        </w:rPr>
        <w:t>Europäisch-israelische Kooperation, Grundlagen für Zielpriorisierung bei Gliom-Therapie.</w:t>
      </w:r>
    </w:p>
    <w:p>
      <w:r>
        <w:rPr>
          <w:color w:val="5A7D3A"/>
          <w:sz w:val="18"/>
        </w:rPr>
        <w:t>https://pubmed.ncbi.nlm.nih.gov/42735681/</w:t>
      </w:r>
    </w:p>
    <w:p>
      <w:pPr>
        <w:pStyle w:val="Heading1"/>
      </w:pPr>
      <w:r>
        <w:t>Aufgenommen am 25.09.2026</w:t>
      </w:r>
    </w:p>
    <w:p>
      <w:pPr>
        <w:pStyle w:val="Heading2"/>
      </w:pPr>
      <w:r>
        <w:t>Adaptive Hoffnung in der Onkologie – Klinischer Rahmen für patientenzentrierte Kommunikation</w:t>
      </w:r>
    </w:p>
    <w:p>
      <w:r>
        <w:rPr>
          <w:i/>
          <w:color w:val="666666"/>
          <w:sz w:val="18"/>
        </w:rPr>
        <w:t>Cherny NI et al.  ·  ESMO Open  ·  24.07.2026  ·  PMID 42785913</w:t>
      </w:r>
    </w:p>
    <w:p>
      <w:r>
        <w:t>Narrative Übersichtsarbeit (Synthesis empirischer und konzeptioneller Literatur): Hope und Despair als zentrale, oft ko-existierende Dimensionen der Krebserfahrung – ihre Determinanten, klinischen Manifestationen und Implikationen für Kommunikation und Entscheidungsfindung über die Krankheitstrajectory.</w:t>
      </w:r>
    </w:p>
    <w:p>
      <w:r>
        <w:rPr>
          <w:b/>
        </w:rPr>
        <w:t xml:space="preserve">Ergebnis: </w:t>
      </w:r>
      <w:r>
        <w:t>Hoffnung ist dynamisches, multidimensionales Konstrukt, das sich über Zeit evolves – initial auf Heilung ausgerichtet, rekalibriert oft zu erreichbaren Zielen (Symptomkontrolle, Funktion, Sinnstiftung, Würde, spiritueller Frieden). Adaptive, realitätskongruente Hoffnung durch ehrliche, mitfühlende, relational fundierte Kommunikation nachhaltig. Klinische Competency: Psychospiritual-, Relational-, interdisziplinäre Approaches (empathische Kommunikation, Symptommanagement, Meaning-Centered Interventions, Dignity-Conserving Care).</w:t>
      </w:r>
    </w:p>
    <w:p>
      <w:r>
        <w:rPr>
          <w:b/>
          <w:sz w:val="19"/>
        </w:rPr>
        <w:t xml:space="preserve">Übertragbarkeit: </w:t>
      </w:r>
      <w:r>
        <w:rPr>
          <w:sz w:val="19"/>
        </w:rPr>
        <w:t>Internationale Expert-Synthesis, direkt auf deutsches Gesundheitssystem übertragbar.</w:t>
      </w:r>
    </w:p>
    <w:p>
      <w:r>
        <w:rPr>
          <w:color w:val="5A7D3A"/>
          <w:sz w:val="18"/>
        </w:rPr>
        <w:t>https://pubmed.ncbi.nlm.nih.gov/42785913/</w:t>
      </w:r>
    </w:p>
    <w:p>
      <w:pPr>
        <w:pStyle w:val="Heading2"/>
      </w:pPr>
      <w:r>
        <w:t>Trastuzumab emtansine bei HER2+ extramammärer Paget-Erkrankung – 92,9% Ansprechrate</w:t>
      </w:r>
    </w:p>
    <w:p>
      <w:r>
        <w:rPr>
          <w:i/>
          <w:color w:val="666666"/>
          <w:sz w:val="18"/>
        </w:rPr>
        <w:t>Arakawa S et al.  ·  ESMO Open  ·  21.07.2026  ·  PMID 42785912</w:t>
      </w:r>
    </w:p>
    <w:p>
      <w:r>
        <w:t>Phase-II-Studie TEMENOS-2: 14 japanische Patienten mit HER2-positivem metastasiertem Paget-Karzinom (extramammär), Firstline Trastuzumab emtansine 3,6 mg/kg alle 3 Wochen bis 2 Jahre.</w:t>
      </w:r>
    </w:p>
    <w:p>
      <w:r>
        <w:rPr>
          <w:b/>
        </w:rPr>
        <w:t xml:space="preserve">Ergebnis: </w:t>
      </w:r>
      <w:r>
        <w:t>Objektive Ansprechquote (zentrale Bewertung) 92,9% [95% CI 66,1%–99,8%]: 2 komplette, 11 partielle Remissionen, 1 Progression. Median-PFS 16,95 Monate [95% CI 5,75–n.e.]. Median-OS nicht erreicht. Grade-3-Nebenwirkungen in 42,9%, keine ≥4. Erste prospektive Evidenz für HER2-dirigierte ADC in dieser Entität.</w:t>
      </w:r>
    </w:p>
    <w:p>
      <w:r>
        <w:rPr>
          <w:b/>
          <w:sz w:val="19"/>
        </w:rPr>
        <w:t xml:space="preserve">Übertragbarkeit: </w:t>
      </w:r>
      <w:r>
        <w:rPr>
          <w:sz w:val="19"/>
        </w:rPr>
        <w:t>Japanische Studie, kleine Fallzahl (n=14); für Deutschland Übertragbarkeit HER2+ seltene Tumoren.</w:t>
      </w:r>
    </w:p>
    <w:p>
      <w:r>
        <w:rPr>
          <w:color w:val="5A7D3A"/>
          <w:sz w:val="18"/>
        </w:rPr>
        <w:t>https://pubmed.ncbi.nlm.nih.gov/42785912/</w:t>
      </w:r>
    </w:p>
    <w:p>
      <w:pPr>
        <w:pStyle w:val="Heading2"/>
      </w:pPr>
      <w:r>
        <w:t>Atezolizumab plus pertuzumab, trastuzumab, Chemotherapie – kein Vorteil für Gesamtüberleben</w:t>
      </w:r>
    </w:p>
    <w:p>
      <w:r>
        <w:rPr>
          <w:i/>
          <w:color w:val="666666"/>
          <w:sz w:val="18"/>
        </w:rPr>
        <w:t>Huober J et al.  ·  ESMO Open  ·  24.09.2026  ·  PMID 42785163</w:t>
      </w:r>
    </w:p>
    <w:p>
      <w:r>
        <w:t>Phase-III-Studie (IMpassion050): Neoadjuvante Atezolizumab-Addition zur Standard-Therapie bei HER2-positivem Frühbrustkrebs hohen Risikos – Intention-to-treat und PD-L1-positive Kohorte.</w:t>
      </w:r>
    </w:p>
    <w:p>
      <w:r>
        <w:rPr>
          <w:b/>
        </w:rPr>
        <w:t xml:space="preserve">Ergebnis: </w:t>
      </w:r>
      <w:r>
        <w:t>3-Jahres-Event-Free-Survival 91,4% (Atezolizumab) vs 89,0% (Placebo); Hazard Ratio 0,90 [95% CI 0,50–1,59]; 3-Jahres-Disease-Free-Survival 92,9% vs 88,5% (HR 0,71 [95% CI 0,38–1,32]). Keine signifikanten Unterschiede. Immuntherapie-assoziierte unerwünschte Ereignisse häufiger (59,4% vs 47,0%).</w:t>
      </w:r>
    </w:p>
    <w:p>
      <w:r>
        <w:rPr>
          <w:b/>
          <w:sz w:val="19"/>
        </w:rPr>
        <w:t xml:space="preserve">Übertragbarkeit: </w:t>
      </w:r>
      <w:r>
        <w:rPr>
          <w:sz w:val="19"/>
        </w:rPr>
        <w:t>Europäische Multicenterstudie, deutsche Beteiligung, direkt anwendbar.</w:t>
      </w:r>
    </w:p>
    <w:p>
      <w:r>
        <w:rPr>
          <w:color w:val="5A7D3A"/>
          <w:sz w:val="18"/>
        </w:rPr>
        <w:t>https://pubmed.ncbi.nlm.nih.gov/42785163/</w:t>
      </w:r>
    </w:p>
    <w:p>
      <w:pPr>
        <w:pStyle w:val="Heading2"/>
      </w:pPr>
      <w:r>
        <w:t>Retlirafusp alfa + Chemotherapie – Gesamtüberleben bei Magen-/GEJ-Karzinom um 6,4 Monate verlängert</w:t>
      </w:r>
    </w:p>
    <w:p>
      <w:r>
        <w:rPr>
          <w:i/>
          <w:color w:val="666666"/>
          <w:sz w:val="18"/>
        </w:rPr>
        <w:t>Peng Z et al.  ·  J Clin Oncol  ·  24.09.2026  ·  PMID 42784781</w:t>
      </w:r>
    </w:p>
    <w:p>
      <w:r>
        <w:t>Phase-III-Studie RELIGHT (731 Patienten): Retlirafusp alfa (Anti-PD-L1/TGF-β-Antikörper) + CAPOX versus Placebo + CAPOX als Firstline-Therapie für HER2-negatives lokal fortgeschrittenes/metastasiertes Magen-/Ösophagus-Karzinom.</w:t>
      </w:r>
    </w:p>
    <w:p>
      <w:r>
        <w:rPr>
          <w:b/>
        </w:rPr>
        <w:t xml:space="preserve">Ergebnis: </w:t>
      </w:r>
      <w:r>
        <w:t>PD-L1-CPS ≥5: Median-OS 16,8 vs 10,4 Monate (HR 0,53 [95% CI 0,40–0,68], p &lt; 0,0001). ITT-Analyse: 15,8 vs 11,2 Monate (HR 0,66 [95% CI 0,53–0,81], p &lt; 0,0001). Median-PFS 7,6 vs 5,5 Monate (HR 0,52). Toxizität vergleichbar (Grade ≥3: 62,6% vs 59,0%).</w:t>
      </w:r>
    </w:p>
    <w:p>
      <w:r>
        <w:rPr>
          <w:b/>
          <w:sz w:val="19"/>
        </w:rPr>
        <w:t xml:space="preserve">Übertragbarkeit: </w:t>
      </w:r>
      <w:r>
        <w:rPr>
          <w:sz w:val="19"/>
        </w:rPr>
        <w:t>China-Studie (Versicherungssystem unterschiedlich); in Deutschland Vergleich zu PD-1-Inhibitor+Chemotherapie erforderlich.</w:t>
      </w:r>
    </w:p>
    <w:p>
      <w:r>
        <w:rPr>
          <w:color w:val="5A7D3A"/>
          <w:sz w:val="18"/>
        </w:rPr>
        <w:t>https://pubmed.ncbi.nlm.nih.gov/42784781/</w:t>
      </w:r>
    </w:p>
    <w:p>
      <w:pPr>
        <w:pStyle w:val="Heading2"/>
      </w:pPr>
      <w:r>
        <w:t>PET/CT reduziert Planungszielvolumina in Ösophaguskarzinom-Strahlentherapie</w:t>
      </w:r>
    </w:p>
    <w:p>
      <w:r>
        <w:rPr>
          <w:i/>
          <w:color w:val="666666"/>
          <w:sz w:val="18"/>
        </w:rPr>
        <w:t>Ashykhmina V et al.  ·  Strahlenther Onkol  ·  24.09.2026  ·  PMID 42782290</w:t>
      </w:r>
    </w:p>
    <w:p>
      <w:r>
        <w:t>Retrospektive Analyse: 20 Patienten mit lokal fortgeschrittenem Ösophaguskarzinom – Vergleich PET/CT-gestützter versus CT-allein-Konturierung für Strahlenplanung.</w:t>
      </w:r>
    </w:p>
    <w:p>
      <w:r>
        <w:rPr>
          <w:b/>
        </w:rPr>
        <w:t xml:space="preserve">Ergebnis: </w:t>
      </w:r>
      <w:r>
        <w:t>PET/CT reduziert Zielvolumen signifikant (mittleres PTV 602,3 ± 267,4 cm³ auf 453,2 ± 237,4 cm³, p &lt; 0,001). Lungen-V20 sank von 10,39 ± 1,23% auf 7,85 ± 1,18% (p = 0,001). Geometrische Unterschiede &gt;100 cm³ in 20% der Fälle. Interobserver-Variabilität beim PET/CT-Targeting niedriger.</w:t>
      </w:r>
    </w:p>
    <w:p>
      <w:r>
        <w:rPr>
          <w:b/>
          <w:sz w:val="19"/>
        </w:rPr>
        <w:t xml:space="preserve">Übertragbarkeit: </w:t>
      </w:r>
      <w:r>
        <w:rPr>
          <w:sz w:val="19"/>
        </w:rPr>
        <w:t>Deutsche Klinik (Magdeburg), prospektive Validierung erforderlich.</w:t>
      </w:r>
    </w:p>
    <w:p>
      <w:r>
        <w:rPr>
          <w:color w:val="5A7D3A"/>
          <w:sz w:val="18"/>
        </w:rPr>
        <w:t>https://pubmed.ncbi.nlm.nih.gov/42782290/</w:t>
      </w:r>
    </w:p>
    <w:p>
      <w:pPr>
        <w:pStyle w:val="Heading2"/>
      </w:pPr>
      <w:r>
        <w:t>Re-Bestrahlung zentraler Lungenkarzinom-Rezidive – 1-Jahres-Überleben 61%</w:t>
      </w:r>
    </w:p>
    <w:p>
      <w:r>
        <w:rPr>
          <w:i/>
          <w:color w:val="666666"/>
          <w:sz w:val="18"/>
        </w:rPr>
        <w:t>Farnik F et al.  ·  Strahlenther Onkol  ·  24.09.2026  ·  PMID 42782288</w:t>
      </w:r>
    </w:p>
    <w:p>
      <w:r>
        <w:t>Monozentrische Analyse: 30 Patienten mit zentral gelegenem Lungenkarzinom-Rezidiv 2014–2024, Typ-2-Re-Bestrahlung mit individualisierter Dosierung.</w:t>
      </w:r>
    </w:p>
    <w:p>
      <w:r>
        <w:rPr>
          <w:b/>
        </w:rPr>
        <w:t xml:space="preserve">Ergebnis: </w:t>
      </w:r>
      <w:r>
        <w:t>1-Jahres-Gesamtüberleben 61%, 1-Jahres-Progression-Free-Survival 19,3%, 1-Jahres-Lokalkontrolle 80,1%. Mediane EQD2 49,5 Gy. Nur ein Fall Grade-3-Spätkomplikation (Ösophagusstenose), gute Verträglichkeit. Alter &gt;65 Jahre einziger unabhängiger Prognosefaktor für besseres PFS.</w:t>
      </w:r>
    </w:p>
    <w:p>
      <w:r>
        <w:rPr>
          <w:b/>
          <w:sz w:val="19"/>
        </w:rPr>
        <w:t xml:space="preserve">Übertragbarkeit: </w:t>
      </w:r>
      <w:r>
        <w:rPr>
          <w:sz w:val="19"/>
        </w:rPr>
        <w:t>Deutsche Monocenterstudie (Erlangen), begrenzte Fallzahl.</w:t>
      </w:r>
    </w:p>
    <w:p>
      <w:r>
        <w:rPr>
          <w:color w:val="5A7D3A"/>
          <w:sz w:val="18"/>
        </w:rPr>
        <w:t>https://pubmed.ncbi.nlm.nih.gov/42782288/</w:t>
      </w:r>
    </w:p>
    <w:p>
      <w:pPr>
        <w:pStyle w:val="Heading1"/>
      </w:pPr>
      <w:r>
        <w:t>Aufgenommen am 24.09.2026</w:t>
      </w:r>
    </w:p>
    <w:p>
      <w:pPr>
        <w:pStyle w:val="Heading2"/>
      </w:pPr>
      <w:r>
        <w:t>BCG plus Immune Checkpoint Inhibitor erhöht systemische Toxizität bei Blasenkrebs deutlich</w:t>
      </w:r>
    </w:p>
    <w:p>
      <w:r>
        <w:rPr>
          <w:i/>
          <w:color w:val="666666"/>
          <w:sz w:val="18"/>
        </w:rPr>
        <w:t>Ciccarese C et al.  ·  ESMO Open  ·  23.09.2026  ·  PMID 42777327</w:t>
      </w:r>
    </w:p>
    <w:p>
      <w:r>
        <w:t>Metaanalyse von drei Phase-III-Studien (1.895 Patienten) zur Sicherheit intravesikaler BCG-Immunchemotherapie gegenüber BCG allein bei nicht-muskelinvasivem Harnblasenkarzinom.</w:t>
      </w:r>
    </w:p>
    <w:p>
      <w:r>
        <w:rPr>
          <w:b/>
        </w:rPr>
        <w:t xml:space="preserve">Ergebnis: </w:t>
      </w:r>
      <w:r>
        <w:t>BCG plus Immune Checkpoint Inhibitor verdoppelte schwere Nebenwirkungen (Grad ≥3: RR 4,02; p&lt;0,00001) und erhöhte therapiebedingte schwere Ereignisse 4,5-fach (RR 4,54; p=0,0001), hauptsächlich durch systemische immunvermittelte Ereignisse (RR 15,18; p&lt;0,0001). Lokale Blasensymptome ähnlich zwischen Gruppen.</w:t>
      </w:r>
    </w:p>
    <w:p>
      <w:r>
        <w:rPr>
          <w:b/>
          <w:sz w:val="19"/>
        </w:rPr>
        <w:t xml:space="preserve">Übertragbarkeit: </w:t>
      </w:r>
      <w:r>
        <w:rPr>
          <w:sz w:val="19"/>
        </w:rPr>
        <w:t>Europa-Studie mit deutschen und österreichischen Zentren, direkt anwendbar</w:t>
      </w:r>
    </w:p>
    <w:p>
      <w:r>
        <w:rPr>
          <w:color w:val="5A7D3A"/>
          <w:sz w:val="18"/>
        </w:rPr>
        <w:t>https://pubmed.ncbi.nlm.nih.gov/42777327/</w:t>
      </w:r>
    </w:p>
    <w:p>
      <w:pPr>
        <w:pStyle w:val="Heading2"/>
      </w:pPr>
      <w:r>
        <w:t>FLOT plus Nivolumab bei Magenkrebs: Monozyten-Lymphozyten-Ratio identifiziert Profiteure</w:t>
      </w:r>
    </w:p>
    <w:p>
      <w:r>
        <w:rPr>
          <w:i/>
          <w:color w:val="666666"/>
          <w:sz w:val="18"/>
        </w:rPr>
        <w:t>Masetti M et al.  ·  Eur J Cancer  ·  10.09.2026  ·  PMID 42777290</w:t>
      </w:r>
    </w:p>
    <w:p>
      <w:r>
        <w:t>Extended Follow-up einer deutschen Multizenterstudie (Arm C: 52 Patienten mit metastasiertem gastroösophagealem Adenokarzinom) zu FLOT-Chemotherapie plus Nivolumab mit Biomarker-Stratifizierung.</w:t>
      </w:r>
    </w:p>
    <w:p>
      <w:r>
        <w:rPr>
          <w:b/>
        </w:rPr>
        <w:t xml:space="preserve">Ergebnis: </w:t>
      </w:r>
      <w:r>
        <w:t>Mediane OS 14,6 Monate; bei CPS≥1 plus niedriger MLR (Monocyten-Lymphozyten-Ratio) OS 32,3 vs. 7,4 Monate (p=0,044). NLR und MLR korrelierten mit Überleben; Schmerz verbesserte sich, Müdigkeit und körperliche Funktionsfähigkeit verschlechterten sich.</w:t>
      </w:r>
    </w:p>
    <w:p>
      <w:r>
        <w:rPr>
          <w:b/>
          <w:sz w:val="19"/>
        </w:rPr>
        <w:t xml:space="preserve">Übertragbarkeit: </w:t>
      </w:r>
      <w:r>
        <w:rPr>
          <w:sz w:val="19"/>
        </w:rPr>
        <w:t>Deutsche Klinikdaten aus 19 Zentren, vollständig übertragbar</w:t>
      </w:r>
    </w:p>
    <w:p>
      <w:r>
        <w:rPr>
          <w:color w:val="5A7D3A"/>
          <w:sz w:val="18"/>
        </w:rPr>
        <w:t>https://pubmed.ncbi.nlm.nih.gov/42777290/</w:t>
      </w:r>
    </w:p>
    <w:p>
      <w:pPr>
        <w:pStyle w:val="Heading2"/>
      </w:pPr>
      <w:r>
        <w:t>ODM-209 zeigt Aktivität bei kastrationsresistentem Prostatakarzinom mit AR-LBD-Mutationen</w:t>
      </w:r>
    </w:p>
    <w:p>
      <w:r>
        <w:rPr>
          <w:i/>
          <w:color w:val="666666"/>
          <w:sz w:val="18"/>
        </w:rPr>
        <w:t>Bernard-Tessier A et al.  ·  Eur J Cancer  ·  12.09.2026  ·  PMID 42777289</w:t>
      </w:r>
    </w:p>
    <w:p>
      <w:r>
        <w:t>Phase-I-Studie (STESIDES, 38 Patienten) zu ODM-209, einem CYP11A1-Inhibitor, der alle Steroidhormon-Synthese blockiert, bei metastasiertem kastrationsresistentem Prostatakarzinom und fortgeschrittenem Brustkrebs.</w:t>
      </w:r>
    </w:p>
    <w:p>
      <w:r>
        <w:rPr>
          <w:b/>
        </w:rPr>
        <w:t xml:space="preserve">Ergebnis: </w:t>
      </w:r>
      <w:r>
        <w:t>PSA-Abfall ≥50 % bei 29 % der mCRPC-Patienten (10/34); bei AR-LBD-Mutationen 47 % (9/19). Partielle klinische Remission bei 19 % (3/16). Häufigste Nebenwirkungen: Müdigkeit (53 %), periphere Ödeme (34 %); 8 % erlebten schwere Nebenwirkungen, 3 Fälle ernsthafte Nebenniereninsuffizienz (eine davon DLT).</w:t>
      </w:r>
    </w:p>
    <w:p>
      <w:r>
        <w:rPr>
          <w:b/>
          <w:sz w:val="19"/>
        </w:rPr>
        <w:t xml:space="preserve">Übertragbarkeit: </w:t>
      </w:r>
      <w:r>
        <w:rPr>
          <w:sz w:val="19"/>
        </w:rPr>
        <w:t>Europäisch-finländische Studie, toxikologisches Profil übertragbar auf Deutschland</w:t>
      </w:r>
    </w:p>
    <w:p>
      <w:r>
        <w:rPr>
          <w:color w:val="5A7D3A"/>
          <w:sz w:val="18"/>
        </w:rPr>
        <w:t>https://pubmed.ncbi.nlm.nih.gov/42777289/</w:t>
      </w:r>
    </w:p>
    <w:p>
      <w:pPr>
        <w:pStyle w:val="Heading2"/>
      </w:pPr>
      <w:r>
        <w:t>Anito-cel CAR-T-Therapie erreicht 100 % Ansprechrate bei therapierefraktärem Myelom</w:t>
      </w:r>
    </w:p>
    <w:p>
      <w:r>
        <w:rPr>
          <w:i/>
          <w:color w:val="666666"/>
          <w:sz w:val="18"/>
        </w:rPr>
        <w:t>Frigault MJ et al.  ·  N Engl J Med  ·  24.09.2026  ·  PMID 42777241</w:t>
      </w:r>
    </w:p>
    <w:p>
      <w:r>
        <w:t>Phase-1-Studie (40 Patienten, 38 erhielten Anito-cel) zu autologer CAR-T-Zelltherapie mit d-Domain-BCMA-Binder bei therapierefraktärem oder rezidiviertem multiplem Myelom nach ≥3 Therapielinien.</w:t>
      </w:r>
    </w:p>
    <w:p>
      <w:r>
        <w:rPr>
          <w:b/>
        </w:rPr>
        <w:t xml:space="preserve">Ergebnis: </w:t>
      </w:r>
      <w:r>
        <w:t>Objektives Ansprechrate 100 % (38/38), komplette Remission 79 % (30/38); mediane PFS 30,2 Monate (24-Monats-PFS 57 %), 36-Monats-OS 65 %. CRS Grad 1–2 bei 94 % (beim empfohlenen Dosis-Level), kein Grad-≥3-CRS. ICANS Grad 1–2 bei 16 %, Grad 3 bei 3 % (1 Patient). Keine Neurotoxizität oder Off-Target-Effekte.</w:t>
      </w:r>
    </w:p>
    <w:p>
      <w:r>
        <w:rPr>
          <w:b/>
          <w:sz w:val="19"/>
        </w:rPr>
        <w:t xml:space="preserve">Übertragbarkeit: </w:t>
      </w:r>
      <w:r>
        <w:rPr>
          <w:sz w:val="19"/>
        </w:rPr>
        <w:t>US-Zulassungsstudie, internationale Relevanz, Verfügbarkeit in Deutschland fraglich</w:t>
      </w:r>
    </w:p>
    <w:p>
      <w:r>
        <w:rPr>
          <w:color w:val="5A7D3A"/>
          <w:sz w:val="18"/>
        </w:rPr>
        <w:t>https://pubmed.ncbi.nlm.nih.gov/42777241/</w:t>
      </w:r>
    </w:p>
    <w:p>
      <w:pPr>
        <w:pStyle w:val="Heading2"/>
      </w:pPr>
      <w:r>
        <w:t>Adjuvantes S-1 verbessert 5-Jahres-Überleben nach Gallenwegskarzinom-Resektion auf 64 %</w:t>
      </w:r>
    </w:p>
    <w:p>
      <w:r>
        <w:rPr>
          <w:i/>
          <w:color w:val="666666"/>
          <w:sz w:val="18"/>
        </w:rPr>
        <w:t>Ikeda M et al.  ·  J Clin Oncol  ·  23.09.2026  ·  PMID 42777180</w:t>
      </w:r>
    </w:p>
    <w:p>
      <w:r>
        <w:t>Japanische Phase-III-Studie (ASCOT, 440 Patienten) zu adjuvantem S-1 nach Resektion von Gallenwegskarzinom mit 5-Jahres-Follow-up (mediane Nachbeobachtung 61,5 Monate).</w:t>
      </w:r>
    </w:p>
    <w:p>
      <w:r>
        <w:rPr>
          <w:b/>
        </w:rPr>
        <w:t xml:space="preserve">Ergebnis: </w:t>
      </w:r>
      <w:r>
        <w:t>5-Jahres-OS 64 % mit S-1 versus 52 % unter Beobachtung (HR 0,72; 95%-KI 0,55–0,95; p=0,01). Mediane OS 8,2 versus 5,9 Jahre. Mediane RFS 3,5 (S-1) versus 6,1 Jahre (Beobachtung). Behandlungseffekt über Subgruppen konsistent.</w:t>
      </w:r>
    </w:p>
    <w:p>
      <w:r>
        <w:rPr>
          <w:b/>
          <w:sz w:val="19"/>
        </w:rPr>
        <w:t xml:space="preserve">Übertragbarkeit: </w:t>
      </w:r>
      <w:r>
        <w:rPr>
          <w:sz w:val="19"/>
        </w:rPr>
        <w:t>Japanisches Gesundheitssystem, internationales Standard-Chemotherapieschema, AMNOG-Nutzen möglich</w:t>
      </w:r>
    </w:p>
    <w:p>
      <w:r>
        <w:rPr>
          <w:color w:val="5A7D3A"/>
          <w:sz w:val="18"/>
        </w:rPr>
        <w:t>https://pubmed.ncbi.nlm.nih.gov/42777180/</w:t>
      </w:r>
    </w:p>
    <w:p>
      <w:pPr>
        <w:pStyle w:val="Heading2"/>
      </w:pPr>
      <w:r>
        <w:t>GeNeo-Studie: Umfassendes Genomic Profiling verdoppelt Therapieempfehlungen</w:t>
      </w:r>
    </w:p>
    <w:p>
      <w:r>
        <w:rPr>
          <w:i/>
          <w:color w:val="666666"/>
          <w:sz w:val="18"/>
        </w:rPr>
        <w:t>Toungouz GR et al.  ·  Eur J Cancer  ·  03.06.2026  ·  PMID 42773586</w:t>
      </w:r>
    </w:p>
    <w:p>
      <w:r>
        <w:t>Belgische Studie an 1.000 metastasierten oder lokal fortgeschrittenen Krebspatienten, Vergleich umfassendes Genomic Profiling (CGP) versus beschränkte lokale NGS-Panels im Rahmen der belgischen Präzisionsmedizin-Initiative.</w:t>
      </w:r>
    </w:p>
    <w:p>
      <w:r>
        <w:rPr>
          <w:b/>
        </w:rPr>
        <w:t xml:space="preserve">Ergebnis: </w:t>
      </w:r>
      <w:r>
        <w:t>CGP erfolgreich bei 93 % der Patienten; 48 % erhielten mindestens eine zusätzliche Therapieempfehlung durch nationales Molekular-Tumorboard basierend auf CGP. 61 % aller Patienten erhielten CGP-basierte Empfehlungen; 23 % davon erhalten die empfohlene Therapie (Blockage: Nichtverfügbarkeit 25 %, klinische Verschlechterung 24 %, Patientenwahl 17 %).</w:t>
      </w:r>
    </w:p>
    <w:p>
      <w:r>
        <w:rPr>
          <w:b/>
          <w:sz w:val="19"/>
        </w:rPr>
        <w:t xml:space="preserve">Übertragbarkeit: </w:t>
      </w:r>
      <w:r>
        <w:rPr>
          <w:sz w:val="19"/>
        </w:rPr>
        <w:t>Belgisches Sozialversicherungssystem, ähnlich deutschem Struktur und Zulassungswegen</w:t>
      </w:r>
    </w:p>
    <w:p>
      <w:r>
        <w:rPr>
          <w:color w:val="5A7D3A"/>
          <w:sz w:val="18"/>
        </w:rPr>
        <w:t>https://pubmed.ncbi.nlm.nih.gov/42773586/</w:t>
      </w:r>
    </w:p>
    <w:p>
      <w:pPr>
        <w:pStyle w:val="Heading1"/>
      </w:pPr>
      <w:r>
        <w:t>Aufgenommen am 23.09.2026</w:t>
      </w:r>
    </w:p>
    <w:p>
      <w:pPr>
        <w:pStyle w:val="Heading2"/>
      </w:pPr>
      <w:r>
        <w:t>Chemotherapie und höheres Alter verschlechtern funktionelle Erholung bei älteren Brustkrebsüberlebenden</w:t>
      </w:r>
    </w:p>
    <w:p>
      <w:r>
        <w:rPr>
          <w:i/>
          <w:color w:val="666666"/>
          <w:sz w:val="18"/>
        </w:rPr>
        <w:t>Cespedes Feliciano EM et al.  ·  J Natl Cancer Inst  ·  23.09.2026  ·  PMID 42772761</w:t>
      </w:r>
    </w:p>
    <w:p>
      <w:r>
        <w:t>Vergleich wiederholter SF-36-Funktionswerte (Lebensqualität) von 6462 Patientinnen mit lokalisiertem und 1872 mit regionalem Brustkrebs vs. 37 196 krebsfreie altersgerechte Kontrollen über 15 Jahre aus der Women's Health Initiative.</w:t>
      </w:r>
    </w:p>
    <w:p>
      <w:r>
        <w:rPr>
          <w:b/>
        </w:rPr>
        <w:t xml:space="preserve">Ergebnis: </w:t>
      </w:r>
      <w:r>
        <w:t>Überlebende zeigten anhaltende funktionelle Defizite: Nach regionalem Krebs −6,8 Punkte (Jahr 1), −5,3 (Jahr 10) gegenüber Kontrollen. Chemotherapie verschärfte frühe Rückgänge (−7,1 Jahr 1). Frauen unter 70 Jahren zeigten bessere Erholung. Bessere Prediagnose-Lebensstiländerungen korrelierten mit größerer funktioneller Reserve und Erholungsfähigkeit.</w:t>
      </w:r>
    </w:p>
    <w:p>
      <w:r>
        <w:rPr>
          <w:b/>
          <w:sz w:val="19"/>
        </w:rPr>
        <w:t xml:space="preserve">Übertragbarkeit: </w:t>
      </w:r>
      <w:r>
        <w:rPr>
          <w:sz w:val="19"/>
        </w:rPr>
        <w:t>US-Daten mit großem Stichprobenumfang; Prinzipien der Unterstützung bei funktioneller Rehabilitation übertragbar.</w:t>
      </w:r>
    </w:p>
    <w:p>
      <w:r>
        <w:rPr>
          <w:color w:val="5A7D3A"/>
          <w:sz w:val="18"/>
        </w:rPr>
        <w:t>https://pubmed.ncbi.nlm.nih.gov/42772761/</w:t>
      </w:r>
    </w:p>
    <w:p>
      <w:pPr>
        <w:pStyle w:val="Heading2"/>
      </w:pPr>
      <w:r>
        <w:t>Molekulare Profiling-Lücke bei Medicaid-Patientinnen mit HR+/HER2−-Brustkrebs – weniger als 40 % erhalten Test</w:t>
      </w:r>
    </w:p>
    <w:p>
      <w:r>
        <w:rPr>
          <w:i/>
          <w:color w:val="666666"/>
          <w:sz w:val="18"/>
        </w:rPr>
        <w:t>Lal T et al.  ·  JCO Oncol Pract  ·  22.09.2026  ·  PMID 42771843</w:t>
      </w:r>
    </w:p>
    <w:p>
      <w:r>
        <w:t>Retrospektive Kohortenstudie mit verlinkten Krebs- und Medicaid-Claims-Daten aus Ohio: 1988 Patientinnen im Alter von 18–65 Jahren mit lokal fortgeschrittenem oder regionalem ER+/HER2−-Brustkrebs 2016–2020; Primärbefund: Erhalt von Oncotype DX oder MammaPrint innerhalb von 6 Monaten.</w:t>
      </w:r>
    </w:p>
    <w:p>
      <w:r>
        <w:rPr>
          <w:b/>
        </w:rPr>
        <w:t xml:space="preserve">Ergebnis: </w:t>
      </w:r>
      <w:r>
        <w:t>37,8 % (752 von 1988 Patientinnen) erhielten molekulares Profiling. Geringere Chancen bei regionalem gegenüber lokalisiertem Stadium (aOR 0,35, p&lt;0,001), Schwarze Frauen vs. Weiße (aOR 0,72), Einkommen über Armutsgrenze (aOR 0,73) und Medicaid-Langzeitpflege-Einschreiber (aOR 0,47). Verheiratet mit höherem Profiling (aOR 1,30).</w:t>
      </w:r>
    </w:p>
    <w:p>
      <w:r>
        <w:rPr>
          <w:b/>
          <w:sz w:val="19"/>
        </w:rPr>
        <w:t xml:space="preserve">Übertragbarkeit: </w:t>
      </w:r>
      <w:r>
        <w:rPr>
          <w:sz w:val="19"/>
        </w:rPr>
        <w:t>USA-Medicaid-Daten; Versorgungsungleichheiten ähnlich auch in Deutschland bei gesetzlicher Versicherung – Implementierungslücke bei Risikogruppen.</w:t>
      </w:r>
    </w:p>
    <w:p>
      <w:r>
        <w:rPr>
          <w:color w:val="5A7D3A"/>
          <w:sz w:val="18"/>
        </w:rPr>
        <w:t>https://pubmed.ncbi.nlm.nih.gov/42771843/</w:t>
      </w:r>
    </w:p>
    <w:p>
      <w:pPr>
        <w:pStyle w:val="Heading2"/>
      </w:pPr>
      <w:r>
        <w:t>Enfortumab Vedotin + Pembrolizumab beim Urothelkarzinom – praktisches Toxizitäts-Attributionsrahmenwerk zwischen ADC und Checkpoint-Inhibitor</w:t>
      </w:r>
    </w:p>
    <w:p>
      <w:r>
        <w:rPr>
          <w:i/>
          <w:color w:val="666666"/>
          <w:sz w:val="18"/>
        </w:rPr>
        <w:t>Zarka J et al.  ·  Oncologist  ·  21.09.2026  ·  PMID 42768457</w:t>
      </w:r>
    </w:p>
    <w:p>
      <w:r>
        <w:t>Mechanismus-informierte systematische Übersicht über Toxizitätsmuster bei Enfortumab Vedotin (EV), Pembrolizumab (P) und EV/P in fortgeschrittenem Urothelkarzinom anhand von Zulassungsstudien, Langzeitdaten und Real-World-Kohorten.</w:t>
      </w:r>
    </w:p>
    <w:p>
      <w:r>
        <w:rPr>
          <w:b/>
        </w:rPr>
        <w:t xml:space="preserve">Ergebnis: </w:t>
      </w:r>
      <w:r>
        <w:t>EV-Monotherapie: kutane Toxizität, periphere Neuropathie, Hyperglykämie, Dysgeuzie, okulare Ereignisse (frühe metabolische Events, kumulative Neuropathie). Pembrolizumab: niedrigere Hochgrad-Toxizität, aber Immune-Checkpoint-induzierte Endokrinopathien, Pneumonitis, Hepatitis, Kolitis, Nephritis. Kombination EV/P: vorhersehbare Überlappung dieser Toxizitätsdomänen; praktisches Attributionsrahmenwerk (EV-dominant, Immune-dominant, Überlappung, hohes Risiko mit Therapieunterbrechung).</w:t>
      </w:r>
    </w:p>
    <w:p>
      <w:r>
        <w:rPr>
          <w:b/>
          <w:sz w:val="19"/>
        </w:rPr>
        <w:t xml:space="preserve">Übertragbarkeit: </w:t>
      </w:r>
      <w:r>
        <w:rPr>
          <w:sz w:val="19"/>
        </w:rPr>
        <w:t>Mayo-Klinik-Kohorte; Toxizitäts-Management-Schemata und Attributionsrahmen für europäische/deutsche Urothelkarzinom-Praxen anwendbar.</w:t>
      </w:r>
    </w:p>
    <w:p>
      <w:r>
        <w:rPr>
          <w:color w:val="5A7D3A"/>
          <w:sz w:val="18"/>
        </w:rPr>
        <w:t>https://pubmed.ncbi.nlm.nih.gov/42768457/</w:t>
      </w:r>
    </w:p>
    <w:p>
      <w:pPr>
        <w:pStyle w:val="Heading2"/>
      </w:pPr>
      <w:r>
        <w:t>γδ-T-Zellen fördern Anti-Tumor-Immunität beim kleinzelligen Lungenkrebs – klinische Basis für BiTE-Therapie</w:t>
      </w:r>
    </w:p>
    <w:p>
      <w:r>
        <w:rPr>
          <w:i/>
          <w:color w:val="666666"/>
          <w:sz w:val="18"/>
        </w:rPr>
        <w:t>Ng J et al.  ·  Cancer Cell  ·  18.09.2026  ·  PMID 42759517</w:t>
      </w:r>
    </w:p>
    <w:p>
      <w:r>
        <w:t>Single-Cell-Transkriptomik in SCLC-Biopsien, kombiniert mit Analyse von zwei praxisverändernden klinischen Studien und Vormodellen, zur Rolle von γδ-T-Zellen bei Anti-PD-L1-Ansprechen und BiTE-Umleitung (Tarlatamab).</w:t>
      </w:r>
    </w:p>
    <w:p>
      <w:r>
        <w:rPr>
          <w:b/>
        </w:rPr>
        <w:t xml:space="preserve">Ergebnis: </w:t>
      </w:r>
      <w:r>
        <w:t>γδ-T-Zell-Infiltration in SCLC-Biospecimens nachgewiesen. Trotz PD-1-Expression behielten γδ-T-Zellen zytotoxisches Transkriptionsprofil. Hohe γδ-T-Zell-Infiltration sagte verbessertes Ansprechen auf Anti-PD-L1 in zwei Studien voraus. Vormodelle zeigten γδ-T-Zellen wirksam bei Tarlatamab-umgeleiteter SCLC-Abtötung; Zoledronsäure sensibilisierte SCLC-Zellen für γδ-T-Zell-vermittelte Tötung.</w:t>
      </w:r>
    </w:p>
    <w:p>
      <w:r>
        <w:rPr>
          <w:b/>
          <w:sz w:val="19"/>
        </w:rPr>
        <w:t xml:space="preserve">Übertragbarkeit: </w:t>
      </w:r>
      <w:r>
        <w:rPr>
          <w:sz w:val="19"/>
        </w:rPr>
        <w:t>Australisch-deutsche Kohorte; Grundlagenbefund mit erkennbarem Weg zu klinischen BiTE- und Kombinationsansätzen.</w:t>
      </w:r>
    </w:p>
    <w:p>
      <w:r>
        <w:rPr>
          <w:color w:val="5A7D3A"/>
          <w:sz w:val="18"/>
        </w:rPr>
        <w:t>https://pubmed.ncbi.nlm.nih.gov/42759517/</w:t>
      </w:r>
    </w:p>
    <w:p>
      <w:pPr>
        <w:pStyle w:val="Heading2"/>
      </w:pPr>
      <w:r>
        <w:t>Adjuvante Therapie der HR+/HER2−-Brustkrebse bei prämenopausalen Frauen: Klinischer Rahmen zu Endokrinologie, CDK4/6-Inhibitoren und Ovarialsuppression</w:t>
      </w:r>
    </w:p>
    <w:p>
      <w:r>
        <w:rPr>
          <w:i/>
          <w:color w:val="666666"/>
          <w:sz w:val="18"/>
        </w:rPr>
        <w:t>Licata L et al.  ·  Ann Oncol  ·  17.09.2026  ·  PMID 42754095</w:t>
      </w:r>
    </w:p>
    <w:p>
      <w:r>
        <w:t>Systematische Zusammenfassung und klinischer Orientierungsrahmen zu Unsicherheiten in der adjuvanten Therapie von prämenopausalen Frauen mit hormonrezeptorpositivem, HER2-negativem frühem Brustkrebs über Endokrinotherapie, CDK4/6-Inhibitoren, Ovarialsuppression und Toxizitätsmanagement.</w:t>
      </w:r>
    </w:p>
    <w:p>
      <w:r>
        <w:rPr>
          <w:b/>
        </w:rPr>
        <w:t xml:space="preserve">Ergebnis: </w:t>
      </w:r>
      <w:r>
        <w:t>Endokrinie mit CDK4/6-Inhibitoren in ausgewählten höheren Risiken bleibt Grundpfeiler. Offene Fragen: optimale Ovarialsuppression, Interpretation genomischer Assays für Chemotherapieentscheidungen, Auswahl für verlängerte Endokrinotherapie, Adhärenz und Schwangerschaftsprobleme. Der Rahmen soll individualisierte Strategien für diese Population unterstützen.</w:t>
      </w:r>
    </w:p>
    <w:p>
      <w:r>
        <w:rPr>
          <w:b/>
          <w:sz w:val="19"/>
        </w:rPr>
        <w:t xml:space="preserve">Übertragbarkeit: </w:t>
      </w:r>
      <w:r>
        <w:rPr>
          <w:sz w:val="19"/>
        </w:rPr>
        <w:t>Italienische und internationale Expertise; Strukturen übertragbar auf deutsches Zentrenmanagement.</w:t>
      </w:r>
    </w:p>
    <w:p>
      <w:r>
        <w:rPr>
          <w:color w:val="5A7D3A"/>
          <w:sz w:val="18"/>
        </w:rPr>
        <w:t>https://pubmed.ncbi.nlm.nih.gov/42754095/</w:t>
      </w:r>
    </w:p>
    <w:p>
      <w:pPr>
        <w:pStyle w:val="Heading2"/>
      </w:pPr>
      <w:r>
        <w:t>Arzneimittelinteraktionen beim Prostatakarzinom – digitale Tools häufig genutzt, Pharmakolog-Zugang unterentwickelt</w:t>
      </w:r>
    </w:p>
    <w:p>
      <w:r>
        <w:rPr>
          <w:i/>
          <w:color w:val="666666"/>
          <w:sz w:val="18"/>
        </w:rPr>
        <w:t>Valsecchi AA et al.  ·  Oncologist  ·  09.09.2026  ·  PMID 42747311</w:t>
      </w:r>
    </w:p>
    <w:p>
      <w:r>
        <w:t>Internationale Online-Umfrage bei 69 italienischen und 1064 weltweiten Gesundheitsberuflern zu Praktiken beim Management von Arzneimittelwechselwirkungen (DDI) beim Prostatakarzinom.</w:t>
      </w:r>
    </w:p>
    <w:p>
      <w:r>
        <w:rPr>
          <w:b/>
        </w:rPr>
        <w:t xml:space="preserve">Ergebnis: </w:t>
      </w:r>
      <w:r>
        <w:t>DDI wurden als klinisch relevant anerkannt. Digitale Werkzeuge (Online-Datenbanken, Apps) am häufigsten; KI-Tools selten. Italienische Onkologen berichteten begrenzte Vor-Ort-Pharmacolog-Unterstützung (29 %), weltweit 76 %. Hauptbarrieren: Zeitdruck, unsichere Quellenzuverlässigkeit, Mangel an Schulung. Italienische Ärzte forderten mehr Pharmacolog-Zugang; globale Kohorten: institutionelle Schulung.</w:t>
      </w:r>
    </w:p>
    <w:p>
      <w:r>
        <w:rPr>
          <w:b/>
          <w:sz w:val="19"/>
        </w:rPr>
        <w:t xml:space="preserve">Übertragbarkeit: </w:t>
      </w:r>
      <w:r>
        <w:rPr>
          <w:sz w:val="19"/>
        </w:rPr>
        <w:t>Deutsche Universitätskliniken haben oft Pharmakolog-Support; zentrale Erkenntnisse zur DDI-Managementlücke und Schulungsbedarf übertragbar.</w:t>
      </w:r>
    </w:p>
    <w:p>
      <w:r>
        <w:rPr>
          <w:color w:val="5A7D3A"/>
          <w:sz w:val="18"/>
        </w:rPr>
        <w:t>https://pubmed.ncbi.nlm.nih.gov/42747311/</w:t>
      </w:r>
    </w:p>
    <w:p>
      <w:pPr>
        <w:pStyle w:val="Heading2"/>
      </w:pPr>
      <w:r>
        <w:t>Nilotinib wirksam bei GIST-Patienten mit schwerer Imatinib-Toxizität – Therapiealternative ohne Kreuzreaktionen</w:t>
      </w:r>
    </w:p>
    <w:p>
      <w:r>
        <w:rPr>
          <w:i/>
          <w:color w:val="666666"/>
          <w:sz w:val="18"/>
        </w:rPr>
        <w:t>Falkenhorst J et al.  ·  Oncologist  ·  09.09.2026  ·  PMID 42691224</w:t>
      </w:r>
    </w:p>
    <w:p>
      <w:r>
        <w:t>Retrospektive Analyse von 20 GIST-Patienten mit schwerer Imatinib-Toxizität, die auf Nilotinib umgestellt wurden, inkl. In-vitro-Testung an Zelllinien mit KIT-Mutationen.</w:t>
      </w:r>
    </w:p>
    <w:p>
      <w:r>
        <w:rPr>
          <w:b/>
        </w:rPr>
        <w:t xml:space="preserve">Ergebnis: </w:t>
      </w:r>
      <w:r>
        <w:t>7,3 % der 1263 GIST-Patienten beendeten Imatinib wegen Toxizität. In 20 Patienten mit Nilotinib-Therapie zeigten sich keine Kreuzreaktivitäten mit Imatinib: Bei KIT-Exon-11-Mutationen wirksam, bei Exon-9- oder imatinib-resistenten Mutationen nicht. Nilotinib ist damit eine wichtige Alternative für imatinib-sensitive GIST.</w:t>
      </w:r>
    </w:p>
    <w:p>
      <w:r>
        <w:rPr>
          <w:b/>
          <w:sz w:val="19"/>
        </w:rPr>
        <w:t xml:space="preserve">Übertragbarkeit: </w:t>
      </w:r>
      <w:r>
        <w:rPr>
          <w:sz w:val="19"/>
        </w:rPr>
        <w:t>Deutsche GIST-Zentren können diese Therapieoption bei Imatinib-Unverträglichkeit einsetzen.</w:t>
      </w:r>
    </w:p>
    <w:p>
      <w:r>
        <w:rPr>
          <w:color w:val="5A7D3A"/>
          <w:sz w:val="18"/>
        </w:rPr>
        <w:t>https://pubmed.ncbi.nlm.nih.gov/42691224/</w:t>
      </w:r>
    </w:p>
    <w:p>
      <w:pPr>
        <w:pStyle w:val="Heading1"/>
      </w:pPr>
      <w:r>
        <w:t>Aufgenommen am 22.09.2026</w:t>
      </w:r>
    </w:p>
    <w:p>
      <w:pPr>
        <w:pStyle w:val="Heading2"/>
      </w:pPr>
      <w:r>
        <w:t>Symptom-Belastung während Behandlung: Starkes Prognosesignal für Überleben</w:t>
      </w:r>
    </w:p>
    <w:p>
      <w:r>
        <w:rPr>
          <w:i/>
          <w:color w:val="666666"/>
          <w:sz w:val="18"/>
        </w:rPr>
        <w:t>Hofsø K et al.  ·  ESMO Open  ·  21.09.2026  ·  PMID 42767083</w:t>
      </w:r>
    </w:p>
    <w:p>
      <w:r>
        <w:t>534 Patienten während Krebsbehandlung wurden nach Symptomen klassifiziert; die Assoziation zwischen Symptombelastung und langfristigem Überleben wurde 12–15 Jahre später gemessen.</w:t>
      </w:r>
    </w:p>
    <w:p>
      <w:r>
        <w:rPr>
          <w:b/>
        </w:rPr>
        <w:t xml:space="preserve">Ergebnis: </w:t>
      </w:r>
      <w:r>
        <w:t>Patienten mit durchgehend hoher Symptombelastung zeigten eine höhere Mortalität (HR 1,48; 95% KI 1,14–1,94) als andere Symptomgruppen. Symptomklassen könnten zur Risikoschichtung herangezogen werden.</w:t>
      </w:r>
    </w:p>
    <w:p>
      <w:r>
        <w:rPr>
          <w:b/>
          <w:sz w:val="19"/>
        </w:rPr>
        <w:t xml:space="preserve">Übertragbarkeit: </w:t>
      </w:r>
      <w:r>
        <w:rPr>
          <w:sz w:val="19"/>
        </w:rPr>
        <w:t>Norwegen, Versicherungssystem und Onkologieversorgung vergleichbar mit Deutschland.</w:t>
      </w:r>
    </w:p>
    <w:p>
      <w:r>
        <w:rPr>
          <w:color w:val="5A7D3A"/>
          <w:sz w:val="18"/>
        </w:rPr>
        <w:t>https://pubmed.ncbi.nlm.nih.gov/42767083/</w:t>
      </w:r>
    </w:p>
    <w:p>
      <w:pPr>
        <w:pStyle w:val="Heading2"/>
      </w:pPr>
      <w:r>
        <w:t>Dosisreduktion bei Ewing-Sarkom: Verzicht auf Therapie verschärft Prognose nicht</w:t>
      </w:r>
    </w:p>
    <w:p>
      <w:r>
        <w:rPr>
          <w:i/>
          <w:color w:val="666666"/>
          <w:sz w:val="18"/>
        </w:rPr>
        <w:t>Liu Y et al.  ·  Eur J Cancer  ·  16.09.2026  ·  PMID 42766959</w:t>
      </w:r>
    </w:p>
    <w:p>
      <w:r>
        <w:t>Euro Ewing 2012-Daten von 534 Patienten wurden analysiert, um die Auswirkung von Chemotherapie-Dosisanpassungen auf ereignisfreies Überleben zu quantifizieren.</w:t>
      </w:r>
    </w:p>
    <w:p>
      <w:r>
        <w:rPr>
          <w:b/>
        </w:rPr>
        <w:t xml:space="preserve">Ergebnis: </w:t>
      </w:r>
      <w:r>
        <w:t>Dosisreduktion war protektiv (HR 0,69; KI 0,39–1,24), Therapieverzögerung neutral (HR 1,02; KI 0,90–1,15); beide nicht signifikant. Toxizitätsmanagement durch Dosisanpassung beeinträchtigt Prognose nicht wesentlich.</w:t>
      </w:r>
    </w:p>
    <w:p>
      <w:r>
        <w:rPr>
          <w:b/>
          <w:sz w:val="19"/>
        </w:rPr>
        <w:t xml:space="preserve">Übertragbarkeit: </w:t>
      </w:r>
      <w:r>
        <w:rPr>
          <w:sz w:val="19"/>
        </w:rPr>
        <w:t>Europäische Studie, multinationale Kohorte, Ergebnisse übertragbar auf deutsches Versorgungssystem.</w:t>
      </w:r>
    </w:p>
    <w:p>
      <w:r>
        <w:rPr>
          <w:color w:val="5A7D3A"/>
          <w:sz w:val="18"/>
        </w:rPr>
        <w:t>https://pubmed.ncbi.nlm.nih.gov/42766959/</w:t>
      </w:r>
    </w:p>
    <w:p>
      <w:pPr>
        <w:pStyle w:val="Heading2"/>
      </w:pPr>
      <w:r>
        <w:t>Operationsrand bei Brustkrebs in situ: Unter 2 mm nicht automatisch ungünstiger</w:t>
      </w:r>
    </w:p>
    <w:p>
      <w:r>
        <w:rPr>
          <w:i/>
          <w:color w:val="666666"/>
          <w:sz w:val="18"/>
        </w:rPr>
        <w:t>Nash AL et al.  ·  J Clin Oncol  ·  21.09.2026  ·  PMID 42766806</w:t>
      </w:r>
    </w:p>
    <w:p>
      <w:r>
        <w:t>11.156 Frauen mit DCIS wurden nach Operationsrandbreite klassifiziert und lokales Rezidivrisiko gemessen; multivariables Cox-Modell nach klinischen Faktoren adjustiert.</w:t>
      </w:r>
    </w:p>
    <w:p>
      <w:r>
        <w:rPr>
          <w:b/>
        </w:rPr>
        <w:t xml:space="preserve">Ergebnis: </w:t>
      </w:r>
      <w:r>
        <w:t>Bei negativem Rand zeigt sich kein signifikanter Unterschied zwischen &lt;2 mm und ≥2 mm Randbreite in Rezidivrate. Nur in der Subgruppe &lt;50 Jahre war schmaler Rand ungünstiger. ORR Brusterhalt, Strahlentherapie, Alter, Hormonrezeptor und Tumor-Grade berücksichtigt.</w:t>
      </w:r>
    </w:p>
    <w:p>
      <w:r>
        <w:rPr>
          <w:b/>
          <w:sz w:val="19"/>
        </w:rPr>
        <w:t xml:space="preserve">Übertragbarkeit: </w:t>
      </w:r>
      <w:r>
        <w:rPr>
          <w:sz w:val="19"/>
        </w:rPr>
        <w:t>USA, Nationale Krebsdatenbank, vergleichbare Dokumentationsstandards zu deutschem Krebsregister.</w:t>
      </w:r>
    </w:p>
    <w:p>
      <w:r>
        <w:rPr>
          <w:color w:val="5A7D3A"/>
          <w:sz w:val="18"/>
        </w:rPr>
        <w:t>https://pubmed.ncbi.nlm.nih.gov/42766806/</w:t>
      </w:r>
    </w:p>
    <w:p>
      <w:pPr>
        <w:pStyle w:val="Heading2"/>
      </w:pPr>
      <w:r>
        <w:t>Krebsimpfstoffe: Überblick über Wirkmechanismen und klinische Erfolge</w:t>
      </w:r>
    </w:p>
    <w:p>
      <w:r>
        <w:rPr>
          <w:i/>
          <w:color w:val="666666"/>
          <w:sz w:val="18"/>
        </w:rPr>
        <w:t>Disis ML et al.  ·  JAMA  ·  21.09.2026  ·  PMID 42766303</w:t>
      </w:r>
    </w:p>
    <w:p>
      <w:r>
        <w:t>Systematische Übersicht der Translational-Science-Literatur zu Krebsvakzinen, deren Komponenten, Wirkungsweisen und bisherigen Zulassungserfolgen.</w:t>
      </w:r>
    </w:p>
    <w:p>
      <w:r>
        <w:rPr>
          <w:b/>
        </w:rPr>
        <w:t xml:space="preserve">Ergebnis: </w:t>
      </w:r>
      <w:r>
        <w:t>Sipuleucel-T reduzierte Mortalität um 22% vs. Placebo (HR 0,78; p=0,03). Talimogene laherparepvec erhöhte 6-Monats-Remissionsrate auf 16,3% vs. 2,1% (p&lt;0,001). mRNA-4157+Pembrolizumab verbesserte rezidivfreies Überleben bei Melanom (76,6% vs. 60%; HR 0,56; p=0,05). Nebenwirkungen überwiegend mild.</w:t>
      </w:r>
    </w:p>
    <w:p>
      <w:r>
        <w:rPr>
          <w:b/>
          <w:sz w:val="19"/>
        </w:rPr>
        <w:t xml:space="preserve">Übertragbarkeit: </w:t>
      </w:r>
      <w:r>
        <w:rPr>
          <w:sz w:val="19"/>
        </w:rPr>
        <w:t>USA-Literaturübersicht, Mechanismen und Sicherheitsprofil universell, Verfügbarkeit in Deutschland an Zulassung/Nutzenbewertung gekoppelt.</w:t>
      </w:r>
    </w:p>
    <w:p>
      <w:r>
        <w:rPr>
          <w:color w:val="5A7D3A"/>
          <w:sz w:val="18"/>
        </w:rPr>
        <w:t>https://pubmed.ncbi.nlm.nih.gov/42766303/</w:t>
      </w:r>
    </w:p>
    <w:p>
      <w:pPr>
        <w:pStyle w:val="Heading2"/>
      </w:pPr>
      <w:r>
        <w:t>Ceralasertib plus Olaparib bei HER2-negativem Triple-negativem Brustkrebs: ORR-Gewinn ohne PFS-Vorteil</w:t>
      </w:r>
    </w:p>
    <w:p>
      <w:r>
        <w:rPr>
          <w:i/>
          <w:color w:val="666666"/>
          <w:sz w:val="18"/>
        </w:rPr>
        <w:t>Tutt A et al.  ·  Clin Cancer Res  ·  21.09.2026  ·  PMID 42765908</w:t>
      </w:r>
    </w:p>
    <w:p>
      <w:r>
        <w:t>273 Patientinnen mit PARP-inhibitor-naiven, vorbehandelten triple-negativen Mammakarzinomen wurden in drei molekulare Schichten randomisiert: Olaparib allein gegen Kombinationen mit ATR- oder WEE1-Inhibitor.</w:t>
      </w:r>
    </w:p>
    <w:p>
      <w:r>
        <w:rPr>
          <w:b/>
        </w:rPr>
        <w:t xml:space="preserve">Ergebnis: </w:t>
      </w:r>
      <w:r>
        <w:t>Bei nicht-HRR-mutierten Tumoren: Ceralasertib+Olaparib erhöhte ORR auf 15,4% vs. 3,9% (p=0,0425); PFS-Mediane aber 3,6 vs. 3,6 Monate (nicht signifikant). Adavosertib+Olaparib wurde wegen Toxizität abgebrochen.</w:t>
      </w:r>
    </w:p>
    <w:p>
      <w:r>
        <w:rPr>
          <w:b/>
          <w:sz w:val="19"/>
        </w:rPr>
        <w:t xml:space="preserve">Übertragbarkeit: </w:t>
      </w:r>
      <w:r>
        <w:rPr>
          <w:sz w:val="19"/>
        </w:rPr>
        <w:t>Internationale Studie, einschl. Deutschland/Belgien, vergleichbare onkologische Versorgung, Ergebnis beschränkt: ORR-Gewinn ohne Überleben-Nutzen fraglich.</w:t>
      </w:r>
    </w:p>
    <w:p>
      <w:r>
        <w:rPr>
          <w:color w:val="5A7D3A"/>
          <w:sz w:val="18"/>
        </w:rPr>
        <w:t>https://pubmed.ncbi.nlm.nih.gov/42765908/</w:t>
      </w:r>
    </w:p>
    <w:p>
      <w:pPr>
        <w:pStyle w:val="Heading2"/>
      </w:pPr>
      <w:r>
        <w:t>Wirbelkörperfrakturen und Myelom-Risiko: Prospektive Kohortenstudie mit Incidental-Befunden</w:t>
      </w:r>
    </w:p>
    <w:p>
      <w:r>
        <w:rPr>
          <w:i/>
          <w:color w:val="666666"/>
          <w:sz w:val="18"/>
        </w:rPr>
        <w:t>Rønnemoes R et al.  ·  Leukemia  ·  18.09.2026  ·  PMID 42760387</w:t>
      </w:r>
    </w:p>
    <w:p>
      <w:r>
        <w:t>9.059 Personen aus bevölkerungsrepräsentativer dänischer Stichprobe erhielten CT-Scans; zufällig entdeckte Wirbelkörperfrakturen wurden als Myelom-Risikofaktor untersucht.</w:t>
      </w:r>
    </w:p>
    <w:p>
      <w:r>
        <w:rPr>
          <w:b/>
        </w:rPr>
        <w:t xml:space="preserve">Ergebnis: </w:t>
      </w:r>
      <w:r>
        <w:t>Inzidentelle Wirbelkörperfrakturen zeigten Assoziation mit erhöhtem Myelom-Risiko; Ergebnisse liegen noch in Publikation vor, konkrete Hazard-Ratio nicht im vorliegenden Abstract genannt.</w:t>
      </w:r>
    </w:p>
    <w:p>
      <w:r>
        <w:rPr>
          <w:b/>
          <w:sz w:val="19"/>
        </w:rPr>
        <w:t xml:space="preserve">Übertragbarkeit: </w:t>
      </w:r>
      <w:r>
        <w:rPr>
          <w:sz w:val="19"/>
        </w:rPr>
        <w:t>Dänemark, nationale Bevölkerungsstudie, Diagnostik durch Standardbildgebung deutschem Standard entsprechend.</w:t>
      </w:r>
    </w:p>
    <w:p>
      <w:r>
        <w:rPr>
          <w:color w:val="5A7D3A"/>
          <w:sz w:val="18"/>
        </w:rPr>
        <w:t>https://pubmed.ncbi.nlm.nih.gov/42760387/</w:t>
      </w:r>
    </w:p>
    <w:p>
      <w:pPr>
        <w:pStyle w:val="Heading1"/>
      </w:pPr>
      <w:r>
        <w:t>Aufgenommen am 21.09.2026</w:t>
      </w:r>
    </w:p>
    <w:p>
      <w:pPr>
        <w:pStyle w:val="Heading2"/>
      </w:pPr>
      <w:r>
        <w:t>SABR bei oligometastatischem Brustkrebs: Lokale Kontrolle 92,5% in 1 Jahr</w:t>
      </w:r>
    </w:p>
    <w:p>
      <w:r>
        <w:rPr>
          <w:i/>
          <w:color w:val="666666"/>
          <w:sz w:val="18"/>
        </w:rPr>
        <w:t>Viani GA et al.  ·  Radiother Oncol  ·  20.09.2026  ·  PMID 42764105</w:t>
      </w:r>
    </w:p>
    <w:p>
      <w:r>
        <w:t>Metaanalyse von 25 Studien (1.577 Patienten) zu stereotaktischer ablativer Radiotherapie bei oligometastatischem Brustkrebs.</w:t>
      </w:r>
    </w:p>
    <w:p>
      <w:r>
        <w:rPr>
          <w:b/>
        </w:rPr>
        <w:t xml:space="preserve">Ergebnis: </w:t>
      </w:r>
      <w:r>
        <w:t>Lokale Kontrolle nach 1 Jahr: 92,5 % (95% KI 90,4–94,2), nach 2 Jahren 84,6 % (81,1–87,6). De-novo-Oligometastasen zeigten bessere Ergebnisse als Oligoprogression (OS nach 2 Jahren 91,0 vs. 65,8 %; p=0,002). Grad ≥3-Nebenwirkungen in nur 1,5 % der Patienten.</w:t>
      </w:r>
    </w:p>
    <w:p>
      <w:r>
        <w:rPr>
          <w:b/>
          <w:sz w:val="19"/>
        </w:rPr>
        <w:t xml:space="preserve">Übertragbarkeit: </w:t>
      </w:r>
      <w:r>
        <w:rPr>
          <w:sz w:val="19"/>
        </w:rPr>
        <w:t>Europäische und internationale Studien, vergleichbare Versorgungsstandards</w:t>
      </w:r>
    </w:p>
    <w:p>
      <w:r>
        <w:rPr>
          <w:color w:val="5A7D3A"/>
          <w:sz w:val="18"/>
        </w:rPr>
        <w:t>https://pubmed.ncbi.nlm.nih.gov/42764105/</w:t>
      </w:r>
    </w:p>
    <w:p>
      <w:pPr>
        <w:pStyle w:val="Heading2"/>
      </w:pPr>
      <w:r>
        <w:t>Screening für Schmerz und Depression verbessert sich, aber nicht die Symptomlinderung</w:t>
      </w:r>
    </w:p>
    <w:p>
      <w:r>
        <w:rPr>
          <w:i/>
          <w:color w:val="666666"/>
          <w:sz w:val="18"/>
        </w:rPr>
        <w:t>Huang TQ et al.  ·  JCO Oncol Pract  ·  17.09.2026  ·  PMID 42753214</w:t>
      </w:r>
    </w:p>
    <w:p>
      <w:r>
        <w:t>Analyse von Patienten-Erfahrungsdaten aus dem Oncology Care Model (USA) 2017–2022: Trend von praxis-dokumentierten Screening-Raten vs. Patient-reported Outcomes.</w:t>
      </w:r>
    </w:p>
    <w:p>
      <w:r>
        <w:rPr>
          <w:b/>
        </w:rPr>
        <w:t xml:space="preserve">Ergebnis: </w:t>
      </w:r>
      <w:r>
        <w:t>Praxis-berichtete Schmerz-Screening/-Management-Raten stiegen von 76,5 % auf 92,6 % (2017–2022); Depression von 56,6 % auf 81,7 %. Aber patient-berichtete Schmerzen nahmen leicht ab (–0,2 Prozentpunkte/Quartal; p=0,002), Hilfe bei Symptomen stieg nicht (p&gt;0,20).</w:t>
      </w:r>
    </w:p>
    <w:p>
      <w:r>
        <w:rPr>
          <w:b/>
          <w:sz w:val="19"/>
        </w:rPr>
        <w:t xml:space="preserve">Übertragbarkeit: </w:t>
      </w:r>
      <w:r>
        <w:rPr>
          <w:sz w:val="19"/>
        </w:rPr>
        <w:t>USA, Qualitätsmessung im Versicherungssystem unterscheidet sich von Deutschland</w:t>
      </w:r>
    </w:p>
    <w:p>
      <w:r>
        <w:rPr>
          <w:color w:val="5A7D3A"/>
          <w:sz w:val="18"/>
        </w:rPr>
        <w:t>https://pubmed.ncbi.nlm.nih.gov/42753214/</w:t>
      </w:r>
    </w:p>
    <w:p>
      <w:pPr>
        <w:pStyle w:val="Heading2"/>
      </w:pPr>
      <w:r>
        <w:t>MET-Biomarker-Schwellenwerte bei Osimertinib-resistentem EGFR-mutiertem Lungenkarzinom</w:t>
      </w:r>
    </w:p>
    <w:p>
      <w:r>
        <w:rPr>
          <w:i/>
          <w:color w:val="666666"/>
          <w:sz w:val="18"/>
        </w:rPr>
        <w:t>Ahn MJ et al.  ·  Clin Cancer Res  ·  17.09.2026  ·  PMID 42752799</w:t>
      </w:r>
    </w:p>
    <w:p>
      <w:r>
        <w:t>Retrospektive Analyse aus Phase-II-SAVANNAH-Studie: Bestimmung optimaler MET-Cutoffs (IHC/FISH) für Savolitinib plus Osimertinib bei vorbehandeltem NSCLC.</w:t>
      </w:r>
    </w:p>
    <w:p>
      <w:r>
        <w:rPr>
          <w:b/>
        </w:rPr>
        <w:t xml:space="preserve">Ergebnis: </w:t>
      </w:r>
      <w:r>
        <w:t>ORR 49 % (MET IHC 3+/≥90 % und/oder FISH 10+) vs. 9 % (MET-negativ); 32 % (MET IHC 3+/≥50 % oder FISH 5+). Prävalenz MET 3+/≥90 % oder FISH 10+ betrug 34 %. Optimale Cutoffs identifiziert für Phase-III-SAFFRON-Studie.</w:t>
      </w:r>
    </w:p>
    <w:p>
      <w:r>
        <w:rPr>
          <w:b/>
          <w:sz w:val="19"/>
        </w:rPr>
        <w:t xml:space="preserve">Übertragbarkeit: </w:t>
      </w:r>
      <w:r>
        <w:rPr>
          <w:sz w:val="19"/>
        </w:rPr>
        <w:t>Internationale Studie, Biomarker-Definition für Zulassungspfade weltweit</w:t>
      </w:r>
    </w:p>
    <w:p>
      <w:r>
        <w:rPr>
          <w:color w:val="5A7D3A"/>
          <w:sz w:val="18"/>
        </w:rPr>
        <w:t>https://pubmed.ncbi.nlm.nih.gov/42752799/</w:t>
      </w:r>
    </w:p>
    <w:p>
      <w:pPr>
        <w:pStyle w:val="Heading2"/>
      </w:pPr>
      <w:r>
        <w:t>Immun-Checkpoint-Inhibitoren bei Kopf-Hals-Tumoren mit niedriger PD-L1: verschlechterte Überlebensergebnisse</w:t>
      </w:r>
    </w:p>
    <w:p>
      <w:r>
        <w:rPr>
          <w:i/>
          <w:color w:val="666666"/>
          <w:sz w:val="18"/>
        </w:rPr>
        <w:t>Jin M et al.  ·  JAMA Oncol  ·  17.09.2026  ·  PMID 42752536</w:t>
      </w:r>
    </w:p>
    <w:p>
      <w:r>
        <w:t>Bayessche Metaanalyse von 7 randomisierten Studien (630 Patienten mit PD-L1 CPS &lt;1) zum Overall Survival unter ICI-Therapie vs. Standard-Chemotherapie bei Kopf-Hals-Karzinomen.</w:t>
      </w:r>
    </w:p>
    <w:p>
      <w:r>
        <w:rPr>
          <w:b/>
        </w:rPr>
        <w:t xml:space="preserve">Ergebnis: </w:t>
      </w:r>
      <w:r>
        <w:t>Posterior-Wahrscheinlichkeit für schlechteres OS unter ICI: 95,6 %. Bayesscher HR 1,42 (95% KI 0,93–2,06); frequentistischer HR 1,46 (95% KI 1,17–1,83; p&lt;0,001). Empfehlung: Vorsicht bei ICI in dieser PD-L1-negativen Subgruppe.</w:t>
      </w:r>
    </w:p>
    <w:p>
      <w:r>
        <w:rPr>
          <w:b/>
          <w:sz w:val="19"/>
        </w:rPr>
        <w:t xml:space="preserve">Übertragbarkeit: </w:t>
      </w:r>
      <w:r>
        <w:rPr>
          <w:sz w:val="19"/>
        </w:rPr>
        <w:t>USA und internationale Studien, Befund ist allgemein anwendbar</w:t>
      </w:r>
    </w:p>
    <w:p>
      <w:r>
        <w:rPr>
          <w:color w:val="5A7D3A"/>
          <w:sz w:val="18"/>
        </w:rPr>
        <w:t>https://pubmed.ncbi.nlm.nih.gov/42752536/</w:t>
      </w:r>
    </w:p>
    <w:p>
      <w:pPr>
        <w:pStyle w:val="Heading2"/>
      </w:pPr>
      <w:r>
        <w:t>Tumorreaktion γδ T-Zell-Rezeptoren aus Myelom: Machine-Learning-Identifikation und universelle Therapie</w:t>
      </w:r>
    </w:p>
    <w:p>
      <w:r>
        <w:rPr>
          <w:i/>
          <w:color w:val="666666"/>
          <w:sz w:val="18"/>
        </w:rPr>
        <w:t>St Paul M et al.  ·  Nature  ·  16.09.2026  ·  PMID 42749802</w:t>
      </w:r>
    </w:p>
    <w:p>
      <w:r>
        <w:t>Grundlagenarbeit: PreGame-Algorithmus zur Identifikation tumorreaktiver γδ TCRs aus Single-Cell-Daten. Validierung in Patienten mit Multiplem Myelom; Expansion tumorreaktiver γδ T-Zellen als früher Biomarker für Therapieansprechen.</w:t>
      </w:r>
    </w:p>
    <w:p>
      <w:r>
        <w:rPr>
          <w:b/>
        </w:rPr>
        <w:t xml:space="preserve">Ergebnis: </w:t>
      </w:r>
      <w:r>
        <w:t>PreGame identifiziert tumorreaktion γδ T-Zellen zuverlässig. Expansion während Belantamab-Mafodotin-Therapie korrelierte mit Ansprechen. γδ TCR-Epitop in HLA-C gefunden; Potenzial für universelle γδ-TCR-Therapeutika.</w:t>
      </w:r>
    </w:p>
    <w:p>
      <w:r>
        <w:rPr>
          <w:b/>
          <w:sz w:val="19"/>
        </w:rPr>
        <w:t xml:space="preserve">Übertragbarkeit: </w:t>
      </w:r>
      <w:r>
        <w:rPr>
          <w:sz w:val="19"/>
        </w:rPr>
        <w:t>Kanada und international, Grundlagenergebnis mit Therapie-Translationspfad</w:t>
      </w:r>
    </w:p>
    <w:p>
      <w:r>
        <w:rPr>
          <w:color w:val="5A7D3A"/>
          <w:sz w:val="18"/>
        </w:rPr>
        <w:t>https://pubmed.ncbi.nlm.nih.gov/42749802/</w:t>
      </w:r>
    </w:p>
    <w:p>
      <w:pPr>
        <w:pStyle w:val="Heading2"/>
      </w:pPr>
      <w:r>
        <w:t>Sozioökonomische Disparitäten bei Sarkomdiagnose und Zentrumsanbindung</w:t>
      </w:r>
    </w:p>
    <w:p>
      <w:r>
        <w:rPr>
          <w:i/>
          <w:color w:val="666666"/>
          <w:sz w:val="18"/>
        </w:rPr>
        <w:t>Mascaró-Baselga P et al.  ·  Oncologist  ·  09.09.2026  ·  PMID 42704687</w:t>
      </w:r>
    </w:p>
    <w:p>
      <w:r>
        <w:t>Querschnittsstudie an 415 Sarkom-Patienten (365 Spanien, 50 Portugal) zu Einflussfaktoren auf Diagnostik, Überweisung und Patientengruppen-Awareness.</w:t>
      </w:r>
    </w:p>
    <w:p>
      <w:r>
        <w:rPr>
          <w:b/>
        </w:rPr>
        <w:t xml:space="preserve">Ergebnis: </w:t>
      </w:r>
      <w:r>
        <w:t>Niedrigeres Einkommen (OR 2,38) war mit längeren Diagnostik-Verzögerungen assoziiert; ländliches Wohnen (OR 3,48) mit weniger Überweisungen zu Spezialistzentren. Sarkoma-Spezifische Advocacy-Group-Awareness lag bei 20 % und war höher mit Universitätsabschluss (OR 4,27). Auch in universellen Gesundheitssystemen bestehen Ungleichheiten beim Zugang.</w:t>
      </w:r>
    </w:p>
    <w:p>
      <w:r>
        <w:rPr>
          <w:b/>
          <w:sz w:val="19"/>
        </w:rPr>
        <w:t xml:space="preserve">Übertragbarkeit: </w:t>
      </w:r>
      <w:r>
        <w:rPr>
          <w:sz w:val="19"/>
        </w:rPr>
        <w:t>Spanien und Portugal, europäische Versicherungssysteme, universale Gesundheitsversorgung</w:t>
      </w:r>
    </w:p>
    <w:p>
      <w:r>
        <w:rPr>
          <w:color w:val="5A7D3A"/>
          <w:sz w:val="18"/>
        </w:rPr>
        <w:t>https://pubmed.ncbi.nlm.nih.gov/42704687/</w:t>
      </w:r>
    </w:p>
    <w:p>
      <w:pPr>
        <w:pStyle w:val="Heading1"/>
      </w:pPr>
      <w:r>
        <w:t>Aufgenommen am 20.09.2026</w:t>
      </w:r>
    </w:p>
    <w:p>
      <w:pPr>
        <w:pStyle w:val="Heading2"/>
      </w:pPr>
      <w:r>
        <w:t>Omit-CTV in begrenzt-stadialem Kleinzellkarzinom: Gleiche Wirkung, weniger Toxizität</w:t>
      </w:r>
    </w:p>
    <w:p>
      <w:r>
        <w:rPr>
          <w:i/>
          <w:color w:val="666666"/>
          <w:sz w:val="18"/>
        </w:rPr>
        <w:t>Wang X et al.  ·  Radiother Oncol  ·  19.09.2026  ·  PMID 42763051</w:t>
      </w:r>
    </w:p>
    <w:p>
      <w:r>
        <w:t>Retrospektive Real-World-Studie an 946 Patienten mit begrenzt-stadialem Kleinzellkarzinom der Lunge zum Vergleich von Bestrahlungstechnik mit und ohne klinisches Zielvolumen.</w:t>
      </w:r>
    </w:p>
    <w:p>
      <w:r>
        <w:rPr>
          <w:b/>
        </w:rPr>
        <w:t xml:space="preserve">Ergebnis: </w:t>
      </w:r>
      <w:r>
        <w:t>Mediales PFS 11,8 vs. 11,6 Monate (HR 0,93; p=0,500), mediales OS 35,8 vs. 30,7 Monate (HR 0,85; p=0,220). Omit-CTV zeigte niedrigere Pneumonitis-Raten (Grad ≥3: 3,4 % vs. 8,3 %) und Ösophagitis (Grad ≥3: 5,7 % vs. 9,1 %). Bei Immuntherapie-Patienten: nicht erreichte PFS vs. 15,2 Monate (HR 0,48; p=0,033), nicht erreichte OS vs. 26,9 Monate (HR 0,31; p=0,018).</w:t>
      </w:r>
    </w:p>
    <w:p>
      <w:r>
        <w:rPr>
          <w:b/>
          <w:sz w:val="19"/>
        </w:rPr>
        <w:t xml:space="preserve">Übertragbarkeit: </w:t>
      </w:r>
      <w:r>
        <w:rPr>
          <w:sz w:val="19"/>
        </w:rPr>
        <w:t>China, nationale Klinikdaten; technische Replizierbarkeit international, aber Validierung erforderlich</w:t>
      </w:r>
    </w:p>
    <w:p>
      <w:r>
        <w:rPr>
          <w:color w:val="5A7D3A"/>
          <w:sz w:val="18"/>
        </w:rPr>
        <w:t>https://pubmed.ncbi.nlm.nih.gov/42763051/</w:t>
      </w:r>
    </w:p>
    <w:p>
      <w:pPr>
        <w:pStyle w:val="Heading2"/>
      </w:pPr>
      <w:r>
        <w:t>Dosisunterversorgung bei Protonentherapie: Kein Einfluss auf Ansprechen bei Ösophaguskarzinom</w:t>
      </w:r>
    </w:p>
    <w:p>
      <w:r>
        <w:rPr>
          <w:i/>
          <w:color w:val="666666"/>
          <w:sz w:val="18"/>
        </w:rPr>
        <w:t>van Keeken K et al.  ·  Radiother Oncol  ·  19.09.2026  ·  PMID 42763050</w:t>
      </w:r>
    </w:p>
    <w:p>
      <w:r>
        <w:t>Retrospektive niederländische Analyse von 135 Patienten mit distalem Ösophaguskarzinom unter neoadjuvanter Chemoradiotherapie und intensitätsmodulierter Protonentherapie zur Beziehung zwischen akkumulierter Targetdosis und Tumor-Response.</w:t>
      </w:r>
    </w:p>
    <w:p>
      <w:r>
        <w:rPr>
          <w:b/>
        </w:rPr>
        <w:t xml:space="preserve">Ergebnis: </w:t>
      </w:r>
      <w:r>
        <w:t>Dosisunterversorgung des Internal-Target-Volume (ITV D98 % &lt;94 %) trat bei 21 % auf, Gross-Tumor-Volume-Unterversorgung in 0 %. Persistierende klinische komplette Remission/pathologische komplette Remission: 30 % mit vs. 28 % ohne ITV-Unterversorgung (p=0,90). 2-Jahres-OS identisch (64 %). Zwerchfellbewegung &gt;2 cm war nicht mit Unterversorgung assoziiert.</w:t>
      </w:r>
    </w:p>
    <w:p>
      <w:r>
        <w:rPr>
          <w:b/>
          <w:sz w:val="19"/>
        </w:rPr>
        <w:t xml:space="preserve">Übertragbarkeit: </w:t>
      </w:r>
      <w:r>
        <w:rPr>
          <w:sz w:val="19"/>
        </w:rPr>
        <w:t>Niederländische Klinik, vergleichbares Versicherungssystem; Technische Parameter übertragbar</w:t>
      </w:r>
    </w:p>
    <w:p>
      <w:r>
        <w:rPr>
          <w:color w:val="5A7D3A"/>
          <w:sz w:val="18"/>
        </w:rPr>
        <w:t>https://pubmed.ncbi.nlm.nih.gov/42763050/</w:t>
      </w:r>
    </w:p>
    <w:p>
      <w:pPr>
        <w:pStyle w:val="Heading2"/>
      </w:pPr>
      <w:r>
        <w:t>MammaPrint im MINDACT: 70-Gen-Signatur bestätigt Prognosekraft bei hochrisiko-Brustkrebspatientinnen</w:t>
      </w:r>
    </w:p>
    <w:p>
      <w:r>
        <w:rPr>
          <w:i/>
          <w:color w:val="666666"/>
          <w:sz w:val="18"/>
        </w:rPr>
        <w:t>Gielen RCAM et al.  ·  Eur J Cancer  ·  11.09.2026  ·  PMID 42762561</w:t>
      </w:r>
    </w:p>
    <w:p>
      <w:r>
        <w:t>Exploratorische Subgruppen-Analyse des MINDACT-Trials zu prognostischer Performance des 70-Gen-Signatures in Patientinnen über 50 Jahren mit HR+/HER2- Brustkrebs und klinisch hohem, genomisch niedrigem Risiko, die auf Chemotherapie verzichteten.</w:t>
      </w:r>
    </w:p>
    <w:p>
      <w:r>
        <w:rPr>
          <w:b/>
        </w:rPr>
        <w:t xml:space="preserve">Ergebnis: </w:t>
      </w:r>
      <w:r>
        <w:t>Bei 490 Patientinnen mit Tumoren &gt;2 cm: 8-Jahres-DMFS 87,9 % ohne Chemotherapie (95%-KI 82,9–91,6 %), absoluter Benefit durch Chemotherapie 1,2 %. Bei Grad-3-Tumoren (n=232): DMFS 91,3 % ohne Chemotherapie, Benefit -2,2 %. Bei Lymphknoten-Befall (n=406): DMFS 89,6 %, Benefit 0,7 %. Der Signatur behält prognostische Validität in diesen Hochrisiko-Subgruppen.</w:t>
      </w:r>
    </w:p>
    <w:p>
      <w:r>
        <w:rPr>
          <w:b/>
          <w:sz w:val="19"/>
        </w:rPr>
        <w:t xml:space="preserve">Übertragbarkeit: </w:t>
      </w:r>
      <w:r>
        <w:rPr>
          <w:sz w:val="19"/>
        </w:rPr>
        <w:t>Europäischer Multizenterstudie (EORTC); GnP-Assessment, Leitlinien-relevant</w:t>
      </w:r>
    </w:p>
    <w:p>
      <w:r>
        <w:rPr>
          <w:color w:val="5A7D3A"/>
          <w:sz w:val="18"/>
        </w:rPr>
        <w:t>https://pubmed.ncbi.nlm.nih.gov/42762561/</w:t>
      </w:r>
    </w:p>
    <w:p>
      <w:pPr>
        <w:pStyle w:val="Heading2"/>
      </w:pPr>
      <w:r>
        <w:t>Zugang zu Phase-I-Studien: Barrieren und Chancen bei 26.000 Patienten</w:t>
      </w:r>
    </w:p>
    <w:p>
      <w:r>
        <w:rPr>
          <w:i/>
          <w:color w:val="666666"/>
          <w:sz w:val="18"/>
        </w:rPr>
        <w:t>Roulleaux Dugage M et al.  ·  Eur J Cancer  ·  17.09.2026  ·  PMID 42762559</w:t>
      </w:r>
    </w:p>
    <w:p>
      <w:r>
        <w:t>Französisches Einzelzentrum-Register (Gustave Roussy 2007–2023) zur Untersuchung von Überweisungs- und Einschluss-Mustern in Early-Phase-Trials sowie Dauer bis Therapie-Beginn und Behandlungs-Dauer.</w:t>
      </w:r>
    </w:p>
    <w:p>
      <w:r>
        <w:rPr>
          <w:b/>
        </w:rPr>
        <w:t xml:space="preserve">Ergebnis: </w:t>
      </w:r>
      <w:r>
        <w:t>Von 26.394 überweisenen Patienten wurden 13.713 (52 %) evaluiert, 5.847 (22 %) gaben Einwilligung ab, 4.769 (18 %) erhielten mindestens eine Dosis. Mediane Zeit von Uberweisung zu Trial-Inkl: variabel nach Tumortyp. Zugangsdisparitäten: Nicht-kleinzelliges Lungenkarzinom war häufigste Überweisung (n=5.025, 19 %), aber Brust-, Kolorektal- und Pankreaskarzinom hatten niedrige Behandlungsquoten trotz hoher Überweisungen. Therapeutische Landschaft: Anstieg von Antikörper-Wirkstoff-Konjugaten und T-Zell-Engagern, Rückgang konventioneller monoklonaler Antikörper.</w:t>
      </w:r>
    </w:p>
    <w:p>
      <w:r>
        <w:rPr>
          <w:b/>
          <w:sz w:val="19"/>
        </w:rPr>
        <w:t xml:space="preserve">Übertragbarkeit: </w:t>
      </w:r>
      <w:r>
        <w:rPr>
          <w:sz w:val="19"/>
        </w:rPr>
        <w:t>Frankreich, spezialisiertes Zentrum; begrenzte Übertragbarkeit auf Flächenversorgung, methodisch hochwertig</w:t>
      </w:r>
    </w:p>
    <w:p>
      <w:r>
        <w:rPr>
          <w:color w:val="5A7D3A"/>
          <w:sz w:val="18"/>
        </w:rPr>
        <w:t>https://pubmed.ncbi.nlm.nih.gov/42762559/</w:t>
      </w:r>
    </w:p>
    <w:p>
      <w:pPr>
        <w:pStyle w:val="Heading2"/>
      </w:pPr>
      <w:r>
        <w:t>Europäisches Netzwerk für Krebsversorgung bei Jugendlichen und jungen Erwachsenen</w:t>
      </w:r>
    </w:p>
    <w:p>
      <w:r>
        <w:rPr>
          <w:i/>
          <w:color w:val="666666"/>
          <w:sz w:val="18"/>
        </w:rPr>
        <w:t>Ferrari A et al.  ·  ESMO Open  ·  18.09.2026  ·  PMID 42759381</w:t>
      </w:r>
    </w:p>
    <w:p>
      <w:r>
        <w:t>Policy-Paper eines europäischen Expertise-Netzwerks zu Versorgung von Adoleszenten und jungen Erwachsenen (Alter 15–39 Jahre) mit Krebserkrankungen mit Fokus auf nationale Kooperation und strukturelle Maßnahmen.</w:t>
      </w:r>
    </w:p>
    <w:p>
      <w:r>
        <w:rPr>
          <w:b/>
        </w:rPr>
        <w:t xml:space="preserve">Ergebnis: </w:t>
      </w:r>
      <w:r>
        <w:t>Netzwerk empfiehlt: (1) Etablierung länderspezifischer AYA-Zentren, (2) Kooperation zwischen pädiatrischen und Erwachsenen-Onkologie-Diensten, (3) strukturierte Psychosozial-Unterstützung, (4) harmonisierte Datenerfassung für vergleichende Analyse. Hauptmerkmale: Unterschiedliche nationale Zugangsbarrieren und Versorgungsstrukturen in Europas Ländern erfordern lokale Anpassung bei gemeinsamen Standards.</w:t>
      </w:r>
    </w:p>
    <w:p>
      <w:r>
        <w:rPr>
          <w:b/>
          <w:sz w:val="19"/>
        </w:rPr>
        <w:t xml:space="preserve">Übertragbarkeit: </w:t>
      </w:r>
      <w:r>
        <w:rPr>
          <w:sz w:val="19"/>
        </w:rPr>
        <w:t>Europäischer Kontext, 14 Länder; Übertragbar auf deutsches System mit entsprechender Anpassung</w:t>
      </w:r>
    </w:p>
    <w:p>
      <w:r>
        <w:rPr>
          <w:color w:val="5A7D3A"/>
          <w:sz w:val="18"/>
        </w:rPr>
        <w:t>https://pubmed.ncbi.nlm.nih.gov/42759381/</w:t>
      </w:r>
    </w:p>
    <w:p>
      <w:pPr>
        <w:pStyle w:val="Heading2"/>
      </w:pPr>
      <w:r>
        <w:t>Internationale Konsens-Kriterien für T-Zell-Großgranulär-Lymphom-Diagnose und Therapie</w:t>
      </w:r>
    </w:p>
    <w:p>
      <w:r>
        <w:rPr>
          <w:i/>
          <w:color w:val="666666"/>
          <w:sz w:val="18"/>
        </w:rPr>
        <w:t>Brammer JE et al.  ·  Blood  ·  21.08.2026  ·  PMID 42640859</w:t>
      </w:r>
    </w:p>
    <w:p>
      <w:r>
        <w:t>Internationale Konsensus-Arbeit (LGLL Consortium) zur Etablierung einheitlicher Diagnose-, Behandlungs- und Response-Kriterien für die seltene T-Zell-Großgranulär-Leukämie zur Standardisierung klinischer und Forschungspraxis.</w:t>
      </w:r>
    </w:p>
    <w:p>
      <w:r>
        <w:rPr>
          <w:b/>
        </w:rPr>
        <w:t xml:space="preserve">Ergebnis: </w:t>
      </w:r>
      <w:r>
        <w:t>Konsens auf folgende Punkte: (1) Harmonisierte diagnostische Laborkriterien (Flow-Cytometrie, TCR-Molekularanalyse), (2) standardisierte Behandlungsinitiat-Indikatoren (Symptomatik, Organfunktion), (3) einheitliche Response-Assessment-Parameter (Hämatologie, funktionelle Marker). Empfehlungen zur Differenzialdiagnose autoimmunärer Phänomene. Kriterien adressieren zentrale Heterogenität bisheriger Studien, um zukünftige Trials und Klinik zu vereinheitlichen.</w:t>
      </w:r>
    </w:p>
    <w:p>
      <w:r>
        <w:rPr>
          <w:b/>
          <w:sz w:val="19"/>
        </w:rPr>
        <w:t xml:space="preserve">Übertragbarkeit: </w:t>
      </w:r>
      <w:r>
        <w:rPr>
          <w:sz w:val="19"/>
        </w:rPr>
        <w:t>International mit europäischen Zentren; Standards sind system-unabhängig, direkt übertragbar</w:t>
      </w:r>
    </w:p>
    <w:p>
      <w:r>
        <w:rPr>
          <w:color w:val="5A7D3A"/>
          <w:sz w:val="18"/>
        </w:rPr>
        <w:t>https://pubmed.ncbi.nlm.nih.gov/42640859/</w:t>
      </w:r>
    </w:p>
    <w:p>
      <w:pPr>
        <w:pStyle w:val="Heading1"/>
      </w:pPr>
      <w:r>
        <w:t>Aufgenommen am 19.09.2026</w:t>
      </w:r>
    </w:p>
    <w:p>
      <w:pPr>
        <w:pStyle w:val="Heading2"/>
      </w:pPr>
      <w:r>
        <w:t>Präzisions-Prävention und Früherkennung: Framework für neue Krebskontroll-Pfade</w:t>
      </w:r>
    </w:p>
    <w:p>
      <w:r>
        <w:rPr>
          <w:i/>
          <w:color w:val="666666"/>
          <w:sz w:val="18"/>
        </w:rPr>
        <w:t>Rebbeck TR  ·  Lancet  ·  18.09.2026  ·  PMID 42759527</w:t>
      </w:r>
    </w:p>
    <w:p>
      <w:r>
        <w:t>Editoriales Essay zu Precision Prevention and Early Detection (PPED) – ein Rahmenwerk, das fragt: Wer hat erhöhtes Krebsrisiko, welche Intervention wann, wie de-eskalieren in Niedrig-Risiko-Gruppen?</w:t>
      </w:r>
    </w:p>
    <w:p>
      <w:r>
        <w:rPr>
          <w:b/>
        </w:rPr>
        <w:t xml:space="preserve">Ergebnis: </w:t>
      </w:r>
      <w:r>
        <w:t>Nur 13% der Krebsfälle werden durch Screening entdeckt; 20–50% präsentieren sich notfallmäßig. PPED-Logik funktioniert bei erblichen Syndromen mit ausreichend angereichertem Risiko. Schlüssel: Gesundheitssystem-Infrastruktur und Arbeitskräfte für longitudinales Präventions-Planning; de-Eskalation in Niedrig-Risiko-Personen genauso wichtig wie Intensivierung in Hoch-Risiko. Größte Herausforderung der nächsten Dekade.</w:t>
      </w:r>
    </w:p>
    <w:p>
      <w:r>
        <w:rPr>
          <w:b/>
          <w:sz w:val="19"/>
        </w:rPr>
        <w:t xml:space="preserve">Übertragbarkeit: </w:t>
      </w:r>
      <w:r>
        <w:rPr>
          <w:sz w:val="19"/>
        </w:rPr>
        <w:t>Weltweit anwendbare Prinzipien; deutsche Früherkennung und Zentrenstruktur ermöglichen Umsetzung.</w:t>
      </w:r>
    </w:p>
    <w:p>
      <w:r>
        <w:rPr>
          <w:color w:val="5A7D3A"/>
          <w:sz w:val="18"/>
        </w:rPr>
        <w:t>https://pubmed.ncbi.nlm.nih.gov/42759527/</w:t>
      </w:r>
    </w:p>
    <w:p>
      <w:pPr>
        <w:pStyle w:val="Heading2"/>
      </w:pPr>
      <w:r>
        <w:t>Symptom-Belastung in Krebspatienten korreliert mit geringerer Therapie- und höherer Supportiv-Kostennutzung</w:t>
      </w:r>
    </w:p>
    <w:p>
      <w:r>
        <w:rPr>
          <w:i/>
          <w:color w:val="666666"/>
          <w:sz w:val="18"/>
        </w:rPr>
        <w:t>Hirpara DH et al.  ·  J Clin Oncol  ·  18.09.2026  ·  PMID 42758960</w:t>
      </w:r>
    </w:p>
    <w:p>
      <w:r>
        <w:t>Populationsbasierte Kohortenstudie aus Ontario, Kanada: 285.924 Krebspatienten mit 1.728.025 ESAS-Assessments (Edmonton Symptom Assessment) zur Assoziation zwischen Patient-Reported Outcomes und Gesundheitskosten.</w:t>
      </w:r>
    </w:p>
    <w:p>
      <w:r>
        <w:rPr>
          <w:b/>
        </w:rPr>
        <w:t xml:space="preserve">Ergebnis: </w:t>
      </w:r>
      <w:r>
        <w:t>Höchste Symptom-Belastung (Müdigkeit, Depression, Wohlbefinden) bei Atem-, HNO-Tumoren. Jede 10-Punkte-Zunahme ESAS-Score: 9,4% weniger Krebs-Therapiekosten (sinkende Therapie-Nutzung), aber 18% mehr Supportiv-Care-Kosten (mehr ED-Besuche, Hauscare). GI/Mamma/ZNS teuerste Entitäten (85–78k CAD/30 Tage). Aktives Symptom-Management könnte Krebs-Therapien fördern und unnötige Supportiv-Kosten senken.</w:t>
      </w:r>
    </w:p>
    <w:p>
      <w:r>
        <w:rPr>
          <w:b/>
          <w:sz w:val="19"/>
        </w:rPr>
        <w:t xml:space="preserve">Übertragbarkeit: </w:t>
      </w:r>
      <w:r>
        <w:rPr>
          <w:sz w:val="19"/>
        </w:rPr>
        <w:t>Kanada, ähnliches Versicherungssystem wie Deutschland; Symptom-Management-Evidenz direkt relevant.</w:t>
      </w:r>
    </w:p>
    <w:p>
      <w:r>
        <w:rPr>
          <w:color w:val="5A7D3A"/>
          <w:sz w:val="18"/>
        </w:rPr>
        <w:t>https://pubmed.ncbi.nlm.nih.gov/42758960/</w:t>
      </w:r>
    </w:p>
    <w:p>
      <w:pPr>
        <w:pStyle w:val="Heading2"/>
      </w:pPr>
      <w:r>
        <w:t>Tyrosinkinasehemmer verbessert Gesamtüberleben bei BCR::ABL1+ AML deutlich</w:t>
      </w:r>
    </w:p>
    <w:p>
      <w:r>
        <w:rPr>
          <w:i/>
          <w:color w:val="666666"/>
          <w:sz w:val="18"/>
        </w:rPr>
        <w:t>Bertoli S et al.  ·  Blood  ·  18.09.2026  ·  PMID 42758645</w:t>
      </w:r>
    </w:p>
    <w:p>
      <w:r>
        <w:t>Multizentrische europäische Studie: 212 Patienten mit de novo BCR::ABL1+ AML wurden retrospektiv analysiert – intensiveChemotherapie (IC) allein oder kombiniert mit Tyrosinkinasehemmer (TKI).</w:t>
      </w:r>
    </w:p>
    <w:p>
      <w:r>
        <w:rPr>
          <w:b/>
        </w:rPr>
        <w:t xml:space="preserve">Ergebnis: </w:t>
      </w:r>
      <w:r>
        <w:t>Mit IC+TKI erreichten 110/123 Patienten (89%) komplette Remission/CRi vs. 52/77 (68%) mit IC allein (p&lt;0,0001). 5-Jahres-Gesamtüberleben: 62,9% (IC+TKI) vs. 38,5% (IC; p&lt;0,0001). Im multivariaten Modell: Odds Ratio für CR/CRi 4,74 (95%-KI 2,17–10,35), Hazard Ratio für Überleben 0,40 (0,27–0,62; p&lt;0,001). TKI-Zusatz ist unabhängiger prognostischer Faktor.</w:t>
      </w:r>
    </w:p>
    <w:p>
      <w:r>
        <w:rPr>
          <w:b/>
          <w:sz w:val="19"/>
        </w:rPr>
        <w:t xml:space="preserve">Übertragbarkeit: </w:t>
      </w:r>
      <w:r>
        <w:rPr>
          <w:sz w:val="19"/>
        </w:rPr>
        <w:t>Französisch-deutsches Konsortium, europäische Versicherungssysteme, direkt übertragbar auf deutsche Kliniken.</w:t>
      </w:r>
    </w:p>
    <w:p>
      <w:r>
        <w:rPr>
          <w:color w:val="5A7D3A"/>
          <w:sz w:val="18"/>
        </w:rPr>
        <w:t>https://pubmed.ncbi.nlm.nih.gov/42758645/</w:t>
      </w:r>
    </w:p>
    <w:p>
      <w:pPr>
        <w:pStyle w:val="Heading2"/>
      </w:pPr>
      <w:r>
        <w:t>Intraoperative Radiotherapie zeigt Lokalrezidiv-Raten vergleichbar mit postoperativen Boost</w:t>
      </w:r>
    </w:p>
    <w:p>
      <w:r>
        <w:rPr>
          <w:i/>
          <w:color w:val="666666"/>
          <w:sz w:val="18"/>
        </w:rPr>
        <w:t>Sarria GR et al.  ·  Strahlenther Onkol  ·  17.09.2026  ·  PMID 42754764</w:t>
      </w:r>
    </w:p>
    <w:p>
      <w:r>
        <w:t>Matched-Pair-Analyse von 400 Brustkrebs-Patientinnen (je 200 mit intraoperativer oder postoperativer EBRT-Boost) mit frühen Hochrisikotumoreneach Brustkrebserhaltender Chirurgie.</w:t>
      </w:r>
    </w:p>
    <w:p>
      <w:r>
        <w:rPr>
          <w:b/>
        </w:rPr>
        <w:t xml:space="preserve">Ergebnis: </w:t>
      </w:r>
      <w:r>
        <w:t>Nach medianer 58-Monate-Nachsorge: Kumulative lokale Rezidiv-Inzidenz 3,5% (IORT) vs. 2,0% (EBRT); HR 1,80 (95%-KI 0,58–5,58; p=0,312, nicht signifikant). Keine Unterschiede bei Lymphknoten-, Fernmetastasen-freiem Überleben oder Gesamtüberleben (alle p&gt;0,6). IORT ist wirksame, gut verträgliche Alternative ohne Kompromisse im Langzeit-Onkologie.</w:t>
      </w:r>
    </w:p>
    <w:p>
      <w:r>
        <w:rPr>
          <w:b/>
          <w:sz w:val="19"/>
        </w:rPr>
        <w:t xml:space="preserve">Übertragbarkeit: </w:t>
      </w:r>
      <w:r>
        <w:rPr>
          <w:sz w:val="19"/>
        </w:rPr>
        <w:t>Deutsche und europäische Zentren, Versicherungssystem unabhängig, direkt übertragbar.</w:t>
      </w:r>
    </w:p>
    <w:p>
      <w:r>
        <w:rPr>
          <w:color w:val="5A7D3A"/>
          <w:sz w:val="18"/>
        </w:rPr>
        <w:t>https://pubmed.ncbi.nlm.nih.gov/42754764/</w:t>
      </w:r>
    </w:p>
    <w:p>
      <w:pPr>
        <w:pStyle w:val="Heading2"/>
      </w:pPr>
      <w:r>
        <w:t>Seltene EGFR-T790M-Keimbahn-Mutation mit Lungenkrebsrisiko in Southern Appalachia identifiziert</w:t>
      </w:r>
    </w:p>
    <w:p>
      <w:r>
        <w:rPr>
          <w:i/>
          <w:color w:val="666666"/>
          <w:sz w:val="18"/>
        </w:rPr>
        <w:t>LoPiccolo J et al.  ·  Science  ·  17.09.2026  ·  PMID 42752144</w:t>
      </w:r>
    </w:p>
    <w:p>
      <w:r>
        <w:t>Große bevölkerungsgenetische Studie (&gt;3,3 Mio. Personen) zur Assoziation der EGFR-T790M-Variante mit Lungenkrebsrisiko.</w:t>
      </w:r>
    </w:p>
    <w:p>
      <w:r>
        <w:rPr>
          <w:b/>
        </w:rPr>
        <w:t xml:space="preserve">Ergebnis: </w:t>
      </w:r>
      <w:r>
        <w:t>EGFR-T790M signifikant mit Lungenkrebsrisiko assoziiert, aber nicht mit 17 anderen Tumoren; Risiko übersteigt Raucher-Risiko, mehrfach höher in Never-Smokern. Geografisch/ancestral: höhere Prävalenz in USA (Southern-Appalachian-Founder-Event 200–225 Jahre ago, Herkunft britisch/irisch). Prävalenz regional deutlich erhöht, betrifft britische, irische und afrikanische Abstammung. Erkannte Hochrisiko-Träger ermöglichen gezielte genetische Tests und Screening-Strategien.</w:t>
      </w:r>
    </w:p>
    <w:p>
      <w:r>
        <w:rPr>
          <w:b/>
          <w:sz w:val="19"/>
        </w:rPr>
        <w:t xml:space="preserve">Übertragbarkeit: </w:t>
      </w:r>
      <w:r>
        <w:rPr>
          <w:sz w:val="19"/>
        </w:rPr>
        <w:t>Transatlantische Studie, Angloamerika-Fokus; für Deutschland gering: regionale Appalachian-Founder-Effekt USA-spezifisch.</w:t>
      </w:r>
    </w:p>
    <w:p>
      <w:r>
        <w:rPr>
          <w:color w:val="5A7D3A"/>
          <w:sz w:val="18"/>
        </w:rPr>
        <w:t>https://pubmed.ncbi.nlm.nih.gov/42752144/</w:t>
      </w:r>
    </w:p>
    <w:p>
      <w:pPr>
        <w:pStyle w:val="Heading2"/>
      </w:pPr>
      <w:r>
        <w:t>Elacestrant zeigt anhaltende Vorteile bei ESR1-mutiertem HR+/HER2– mBC</w:t>
      </w:r>
    </w:p>
    <w:p>
      <w:r>
        <w:rPr>
          <w:i/>
          <w:color w:val="666666"/>
          <w:sz w:val="18"/>
        </w:rPr>
        <w:t>Curigliano G et al.  ·  ESMO Open  ·  14.09.2026  ·  PMID 42735454</w:t>
      </w:r>
    </w:p>
    <w:p>
      <w:r>
        <w:t>Real-World-Analyse von 281 Patientinnen mit HR+/HER2-negativ ESR1-mutiertem metastasiertem Brustkrebs nach ≥1 Linie endokriner Therapie plus CDK4/6-Hemmer.</w:t>
      </w:r>
    </w:p>
    <w:p>
      <w:r>
        <w:rPr>
          <w:b/>
        </w:rPr>
        <w:t xml:space="preserve">Ergebnis: </w:t>
      </w:r>
      <w:r>
        <w:t>Medianer Zeitpunkt bis nächste Therapie: 8,2 Monate (95%-KI 6,0–12,2) in Gruppe mit 1–2 Linien ET+CDK4/6i (n=108); 9,0 Monate bei ≥12-monatiger Vortherapie (n=85; 95%-KI 7,7–13,7). Mit nur 1 Vorlinientherapie: 12,2 Monate (95%-KI 9,0-nicht erreicht; n=31). Leber-/Lungenmets: 6,9 Monate; Gehirnmets: 7,4 Monate. Koexistente ESR1+PI3K-Mutation: 6,1 Monate. Durable Vorteile unterstützen Elacestrant als Erst-Option für endokrin-sensitive HR+ ESR1-mutierte Tumoren.</w:t>
      </w:r>
    </w:p>
    <w:p>
      <w:r>
        <w:rPr>
          <w:b/>
          <w:sz w:val="19"/>
        </w:rPr>
        <w:t xml:space="preserve">Übertragbarkeit: </w:t>
      </w:r>
      <w:r>
        <w:rPr>
          <w:sz w:val="19"/>
        </w:rPr>
        <w:t>Europäische und kanadische Zentren, vergleichbares Versicherungssystem, breiter anwendbar.</w:t>
      </w:r>
    </w:p>
    <w:p>
      <w:r>
        <w:rPr>
          <w:color w:val="5A7D3A"/>
          <w:sz w:val="18"/>
        </w:rPr>
        <w:t>https://pubmed.ncbi.nlm.nih.gov/42735454/</w:t>
      </w:r>
    </w:p>
    <w:p>
      <w:pPr>
        <w:pStyle w:val="Heading2"/>
      </w:pPr>
      <w:r>
        <w:t>Thymusbestrahlung bei NSCLC mit höherem Metastasen- und Todesrisiko assoziiert</w:t>
      </w:r>
    </w:p>
    <w:p>
      <w:r>
        <w:rPr>
          <w:i/>
          <w:color w:val="666666"/>
          <w:sz w:val="18"/>
        </w:rPr>
        <w:t>Prudente V et al.  ·  Ann Oncol  ·  25.08.2026  ·  PMID 42641684</w:t>
      </w:r>
    </w:p>
    <w:p>
      <w:r>
        <w:t>Multikohorten-Analyse von 1.107 NSCLC-Patienten (RTOG-0617 und zwei Real-World-Kohorten) zur Auswirkung akzidenteller Thymusbestrahlung auf Outcome.</w:t>
      </w:r>
    </w:p>
    <w:p>
      <w:r>
        <w:rPr>
          <w:b/>
        </w:rPr>
        <w:t xml:space="preserve">Ergebnis: </w:t>
      </w:r>
      <w:r>
        <w:t>Mittlere Thymusdosis (MTD) von 1 Gy assoziiert mit 1,57–4,21% erhöhtem Distanzmetastasen-Risiko (RTOG: aHR 1,29, p=0,0028; Harvard-CRT: aHR 1,33, p=0,011; Harvard-Durva: aHR 1,95, p=0,007). Patienten mit erhaltenem Thymus vorher besonders gefährdet. Nach 1 Jahr: Dosis-abhängiger Thymusfunktions-Verlust und niedrigere Lymphozytenzahlen. Neuplanuung-Machbarkeitsstudie zeigte thymussparing möglich ohne Tumorüberdeckungs-Verlust.</w:t>
      </w:r>
    </w:p>
    <w:p>
      <w:r>
        <w:rPr>
          <w:b/>
          <w:sz w:val="19"/>
        </w:rPr>
        <w:t xml:space="preserve">Übertragbarkeit: </w:t>
      </w:r>
      <w:r>
        <w:rPr>
          <w:sz w:val="19"/>
        </w:rPr>
        <w:t>USA-Daten, aber biologischer Mechanismus universal; deutsche Zentren können Planung adaptieren.</w:t>
      </w:r>
    </w:p>
    <w:p>
      <w:r>
        <w:rPr>
          <w:color w:val="5A7D3A"/>
          <w:sz w:val="18"/>
        </w:rPr>
        <w:t>https://pubmed.ncbi.nlm.nih.gov/42641684/</w:t>
      </w:r>
    </w:p>
    <w:p>
      <w:pPr>
        <w:pStyle w:val="Heading1"/>
      </w:pPr>
      <w:r>
        <w:t>Aufgenommen am 18.09.2026</w:t>
      </w:r>
    </w:p>
    <w:p>
      <w:pPr>
        <w:pStyle w:val="Heading2"/>
      </w:pPr>
      <w:r>
        <w:t>Perfluorheptansäure (PFHpA) erhöht Leberkrebsrisiko: Fallkontrollstudie</w:t>
      </w:r>
    </w:p>
    <w:p>
      <w:r>
        <w:rPr>
          <w:i/>
          <w:color w:val="666666"/>
          <w:sz w:val="18"/>
        </w:rPr>
        <w:t>Watling CZ et al.  ·  J Natl Cancer Inst  ·  17.09.2026  ·  PMID 42752878</w:t>
      </w:r>
    </w:p>
    <w:p>
      <w:r>
        <w:t>Verschachtelte Fall-Kontroll-Studie in 12 prospektiven US-Kohorten (853 Fälle, 853 Kontrollen) zur Assoziation von Per- und Polyfluoralkylverbindungen (PFAS) ausser PFOS, PFOA, PFHxS mit Leberkrebs (Prävention).</w:t>
      </w:r>
    </w:p>
    <w:p>
      <w:r>
        <w:rPr>
          <w:b/>
        </w:rPr>
        <w:t xml:space="preserve">Ergebnis: </w:t>
      </w:r>
      <w:r>
        <w:t>Perfluorheptansäure (PFHpA) positiv mit Leberkrebsrisiko assoziiert: Odds Ratio 1,78 (95%-KI 1,26-2,52). Stärkere Assoziation bei Männern (OR 3,72), HCC (4,53), ≤10 Jahre nach Blutentnahme (3,17). Andere PFAS ohne Assoziation.</w:t>
      </w:r>
    </w:p>
    <w:p>
      <w:r>
        <w:rPr>
          <w:b/>
          <w:sz w:val="19"/>
        </w:rPr>
        <w:t xml:space="preserve">Übertragbarkeit: </w:t>
      </w:r>
      <w:r>
        <w:rPr>
          <w:sz w:val="19"/>
        </w:rPr>
        <w:t>USA-Bevölkerungsdaten; Kurzkettige-PFAS persistieren auch in Europrodukten.</w:t>
      </w:r>
    </w:p>
    <w:p>
      <w:r>
        <w:rPr>
          <w:color w:val="5A7D3A"/>
          <w:sz w:val="18"/>
        </w:rPr>
        <w:t>https://pubmed.ncbi.nlm.nih.gov/42752878/</w:t>
      </w:r>
    </w:p>
    <w:p>
      <w:pPr>
        <w:pStyle w:val="Heading2"/>
      </w:pPr>
      <w:r>
        <w:t>Zolbetuximab versus Immune Checkpoint Inhibitoren bei claudin-18.2-positivem Magenkrebs</w:t>
      </w:r>
    </w:p>
    <w:p>
      <w:r>
        <w:rPr>
          <w:i/>
          <w:color w:val="666666"/>
          <w:sz w:val="18"/>
        </w:rPr>
        <w:t>Shitara K et al.  ·  ESMO Open  ·  16.09.2026  ·  PMID 42748508</w:t>
      </w:r>
    </w:p>
    <w:p>
      <w:r>
        <w:t>Netzwerk-Metaanalyse vergleicht Zolbetuximab plus Chemotherapie mit ICI-basierter Therapie nach PD-L1-CPS-Subgruppen bei fortgeschrittenem Magen-/gastro-ösophagealem Adenokarzinom in ersten Therapielinie.</w:t>
      </w:r>
    </w:p>
    <w:p>
      <w:r>
        <w:rPr>
          <w:b/>
        </w:rPr>
        <w:t xml:space="preserve">Ergebnis: </w:t>
      </w:r>
      <w:r>
        <w:t>Bei PD-L1 CPS ≥1 bis &lt;10 ähnliche oder numerisch günstigere Effekte für Zolbetuximab auf Overall Survival und Progression-Free Survival versus ICIs. Bei CPS ≥10 numerisch vorteilhaft für ICIs, aber mit optimalisierter Zolbetuximab-Exposition vergleichbar.</w:t>
      </w:r>
    </w:p>
    <w:p>
      <w:r>
        <w:rPr>
          <w:b/>
          <w:sz w:val="19"/>
        </w:rPr>
        <w:t xml:space="preserve">Übertragbarkeit: </w:t>
      </w:r>
      <w:r>
        <w:rPr>
          <w:sz w:val="19"/>
        </w:rPr>
        <w:t>Indirekte Vergleiche; biomarker-informierter Ansatz unterstützt, Bestätigung durch prospektive Studien erforderlich.</w:t>
      </w:r>
    </w:p>
    <w:p>
      <w:r>
        <w:rPr>
          <w:color w:val="5A7D3A"/>
          <w:sz w:val="18"/>
        </w:rPr>
        <w:t>https://pubmed.ncbi.nlm.nih.gov/42748508/</w:t>
      </w:r>
    </w:p>
    <w:p>
      <w:pPr>
        <w:pStyle w:val="Heading2"/>
      </w:pPr>
      <w:r>
        <w:t>Achtsamkeit und Tai Chi verbessern Schlaf, Fatigue und Schmerz nach Krebsbehandlung</w:t>
      </w:r>
    </w:p>
    <w:p>
      <w:r>
        <w:rPr>
          <w:i/>
          <w:color w:val="666666"/>
          <w:sz w:val="18"/>
        </w:rPr>
        <w:t>Ma Y et al.  ·  J Clin Oncol  ·  16.09.2026  ·  PMID 42748380</w:t>
      </w:r>
    </w:p>
    <w:p>
      <w:r>
        <w:t>Teilweise randomisierte Patient-Choice-Studie (Mindfulness and Tai Chi for Cancer Health, MATCH) mit 587 Krebsüberlebenden (Durchschnittsalter 60,7 Jahre) zur Wirkung von Achtsamkeitsbasierter Krebsgenesungsgruppe (MBCR) oder Tai Chi/Qigong (TCQ) versus Warteliste auf Schlaf, Fatigue und Schmerz.</w:t>
      </w:r>
    </w:p>
    <w:p>
      <w:r>
        <w:rPr>
          <w:b/>
        </w:rPr>
        <w:t xml:space="preserve">Ergebnis: </w:t>
      </w:r>
      <w:r>
        <w:t>TCQ vs Warteliste: Schlafqualität 1,9 Punkte Verbesserung (p=0,004). MBCR und TCQ vs Warteliste: Fatigue jeweils 3,66 und 3,42 Punkte besser (MBCR p=0,036, TCQ p=0,043). Schmerzbeeinträchtigung &gt;1 Punkt Verbesserung (MBCR p=0,029, TCQ p=0,002). MBCR und TCQ unterschieden sich nicht.</w:t>
      </w:r>
    </w:p>
    <w:p>
      <w:r>
        <w:rPr>
          <w:b/>
          <w:sz w:val="19"/>
        </w:rPr>
        <w:t xml:space="preserve">Übertragbarkeit: </w:t>
      </w:r>
      <w:r>
        <w:rPr>
          <w:sz w:val="19"/>
        </w:rPr>
        <w:t>Kanadisch-amerikanische Studie; psychosoziale Nachsorge übertragbar auf deutsche Zentren.</w:t>
      </w:r>
    </w:p>
    <w:p>
      <w:r>
        <w:rPr>
          <w:color w:val="5A7D3A"/>
          <w:sz w:val="18"/>
        </w:rPr>
        <w:t>https://pubmed.ncbi.nlm.nih.gov/42748380/</w:t>
      </w:r>
    </w:p>
    <w:p>
      <w:pPr>
        <w:pStyle w:val="Heading2"/>
      </w:pPr>
      <w:r>
        <w:t>Wachsendes Krebsaufkommen in Afrika 2023: Kinder, Jugendliche, junge Erwachsene stark betroffen</w:t>
      </w:r>
    </w:p>
    <w:p>
      <w:r>
        <w:rPr>
          <w:i/>
          <w:color w:val="666666"/>
          <w:sz w:val="18"/>
        </w:rPr>
        <w:t>GBD 2023 Africa Cancer Risk Factors Collaborators  ·  Lancet Oncol  ·  15.09.2026  ·  PMID 42743938</w:t>
      </w:r>
    </w:p>
    <w:p>
      <w:r>
        <w:t>Global Burden of Disease Study 2023 zu Krebsinzidenz, -mortalität und Behinderungsbereinigten Lebensjahren (DALYs) in 54 afrikanischen Ländern, 1990-2023; Analyse von 48 Krebsentitäten und 88 Risikofaktoren.</w:t>
      </w:r>
    </w:p>
    <w:p>
      <w:r>
        <w:rPr>
          <w:b/>
        </w:rPr>
        <w:t xml:space="preserve">Ergebnis: </w:t>
      </w:r>
      <w:r>
        <w:t>2023: 1,54 Mio. neue Fälle (95%-UI 1,37-1,75), 923 000 Todesfälle (824 000-1 020 000), 33,9 Mio. DALYs in Afrika. Kinder 0-19 Jahre: 104 000 Fälle (27,7% global), 38,0% globaler Todesfälle. 31,6% DALYs attributiv modifiable Risikofaktoren.</w:t>
      </w:r>
    </w:p>
    <w:p>
      <w:r>
        <w:rPr>
          <w:b/>
          <w:sz w:val="19"/>
        </w:rPr>
        <w:t xml:space="preserve">Übertragbarkeit: </w:t>
      </w:r>
      <w:r>
        <w:rPr>
          <w:sz w:val="19"/>
        </w:rPr>
        <w:t>Bevölkerungsdaten aus 54 Ländern, primär für Gesundheitspolitik und Ressourcenplanung in Afrika relevant.</w:t>
      </w:r>
    </w:p>
    <w:p>
      <w:r>
        <w:rPr>
          <w:color w:val="5A7D3A"/>
          <w:sz w:val="18"/>
        </w:rPr>
        <w:t>https://pubmed.ncbi.nlm.nih.gov/42743938/</w:t>
      </w:r>
    </w:p>
    <w:p>
      <w:pPr>
        <w:pStyle w:val="Heading2"/>
      </w:pPr>
      <w:r>
        <w:t>Perioperatives Durvalumab plus FLOT verlängert Gesamtüberleben bei resektablem Magenkrebs</w:t>
      </w:r>
    </w:p>
    <w:p>
      <w:r>
        <w:rPr>
          <w:i/>
          <w:color w:val="666666"/>
          <w:sz w:val="18"/>
        </w:rPr>
        <w:t>Janjigian YY et al.  ·  Lancet  ·  19.09.2026  ·  PMID 42716074</w:t>
      </w:r>
    </w:p>
    <w:p>
      <w:r>
        <w:t>Randomisierte Phase-3-Studie zur Wirkung von Durvalumab (Immune Checkpoint Inhibitor) plus perioperativer Chemotherapie (FLOT) versus Placebo plus FLOT bei 948 Patienten mit resektablem Magenkarzinom (Stadium II-IVa).</w:t>
      </w:r>
    </w:p>
    <w:p>
      <w:r>
        <w:rPr>
          <w:b/>
        </w:rPr>
        <w:t xml:space="preserve">Ergebnis: </w:t>
      </w:r>
      <w:r>
        <w:t>Gesamtüberleben (Overall Survival) signifikant verbessert mit Durvalumab: Hazard Ratio 0,78 (95%-KI 0,63-0,96; p=0,021). Die Therapie ist neue Standardoption für resektables Magen- und gastro-ösophageales Adenokarzinom.</w:t>
      </w:r>
    </w:p>
    <w:p>
      <w:r>
        <w:rPr>
          <w:b/>
          <w:sz w:val="19"/>
        </w:rPr>
        <w:t xml:space="preserve">Übertragbarkeit: </w:t>
      </w:r>
      <w:r>
        <w:rPr>
          <w:sz w:val="19"/>
        </w:rPr>
        <w:t>Globale Studie in 147 Zentren, vergleichbare Studiendesign wie in deutschem System relevant.</w:t>
      </w:r>
    </w:p>
    <w:p>
      <w:r>
        <w:rPr>
          <w:color w:val="5A7D3A"/>
          <w:sz w:val="18"/>
        </w:rPr>
        <w:t>https://pubmed.ncbi.nlm.nih.gov/42716074/</w:t>
      </w:r>
    </w:p>
    <w:p>
      <w:pPr>
        <w:pStyle w:val="Heading2"/>
      </w:pPr>
      <w:r>
        <w:t>Zehnjahresüberleben nach Brustkrebs nach Stadium, molekularem Subtyp und Grad kombiniert</w:t>
      </w:r>
    </w:p>
    <w:p>
      <w:r>
        <w:rPr>
          <w:i/>
          <w:color w:val="666666"/>
          <w:sz w:val="18"/>
        </w:rPr>
        <w:t>Giudici F et al.  ·  Oncologist  ·  09.09.2026  ·  PMID 42640557</w:t>
      </w:r>
    </w:p>
    <w:p>
      <w:r>
        <w:t>Populationsbasierte Kohortenstudie aus der Friuli-Venezia-Giulia-Krebsregisters (Nordostitalien) mit 10 467 Frauen &lt;75 Jahre, diagnostiziert 2004-2014; Verfolgung bis 2023.</w:t>
      </w:r>
    </w:p>
    <w:p>
      <w:r>
        <w:rPr>
          <w:b/>
        </w:rPr>
        <w:t xml:space="preserve">Ergebnis: </w:t>
      </w:r>
      <w:r>
        <w:t>Höchstes Gesamtüberleben (10-Jahres-Nettoüberleben) bei Stadium I HR+/HER2-: 98,8%. Tiefste bei Stadium III Triple-Negativ: 35,1%. Stadium IV Triple-Negativ: 6,7% vs HR-/HER2+: 18,9%. Vergleich 2004-2009 vs 2010-2014: Verbesserung bei Stadium III HR-/HER2+ von 48,6% auf 87,9% (+39 Prozentpunkte), Stadium III Triple-Negativ 28,8% auf 42,3%.</w:t>
      </w:r>
    </w:p>
    <w:p>
      <w:r>
        <w:rPr>
          <w:b/>
          <w:sz w:val="19"/>
        </w:rPr>
        <w:t xml:space="preserve">Übertragbarkeit: </w:t>
      </w:r>
      <w:r>
        <w:rPr>
          <w:sz w:val="19"/>
        </w:rPr>
        <w:t>Italienisches (europäisches) Krebsregister, vergleichbar mit deutschem System und Dokumentation.</w:t>
      </w:r>
    </w:p>
    <w:p>
      <w:r>
        <w:rPr>
          <w:color w:val="5A7D3A"/>
          <w:sz w:val="18"/>
        </w:rPr>
        <w:t>https://pubmed.ncbi.nlm.nih.gov/42640557/</w:t>
      </w:r>
    </w:p>
    <w:p>
      <w:pPr>
        <w:pStyle w:val="Heading1"/>
      </w:pPr>
      <w:r>
        <w:t>Aufgenommen am 17.09.2026</w:t>
      </w:r>
    </w:p>
    <w:p>
      <w:pPr>
        <w:pStyle w:val="Heading2"/>
      </w:pPr>
      <w:r>
        <w:t>eHealth-Intervention (CUMACA-M) stabilisiert Lebensqualität von Brustkrebsüberlebenden über 9 Monate</w:t>
      </w:r>
    </w:p>
    <w:p>
      <w:r>
        <w:rPr>
          <w:i/>
          <w:color w:val="666666"/>
          <w:sz w:val="18"/>
        </w:rPr>
        <w:t>J Natl Cancer Inst  ·  2026  ·  PMID djag328</w:t>
      </w:r>
    </w:p>
    <w:p>
      <w:r>
        <w:t>Spanische randomisierte Kontrollstudie mit 201 krankheitsfreien Brustkrebsüberlebenden (≥5 Jahre nach Diagnose), 9-Monate-eHealth-Intervention vs. Standardcare.</w:t>
      </w:r>
    </w:p>
    <w:p>
      <w:r>
        <w:rPr>
          <w:b/>
        </w:rPr>
        <w:t xml:space="preserve">Ergebnis: </w:t>
      </w:r>
      <w:r>
        <w:t>Gesamtlebensqualität stabil in Interventionsgruppe (5,70→5,69), Rückgang in Kontrolle (5,83→5,57, Δ=-0,26), Differenz 0,24 Punkte (95% CI 0,03-0,44), p=0,024. Psychisches Wohlbefinden Cohen d=0,40, physisches d=0,28.</w:t>
      </w:r>
    </w:p>
    <w:p>
      <w:r>
        <w:rPr>
          <w:b/>
          <w:sz w:val="19"/>
        </w:rPr>
        <w:t xml:space="preserve">Übertragbarkeit: </w:t>
      </w:r>
      <w:r>
        <w:rPr>
          <w:sz w:val="19"/>
        </w:rPr>
        <w:t>Europäisches System (Spanien/öffentliche Versicherung), digitale Nachsorgeintervention für Flächeimplementierung geeignet.</w:t>
      </w:r>
    </w:p>
    <w:p>
      <w:r>
        <w:rPr>
          <w:color w:val="5A7D3A"/>
          <w:sz w:val="18"/>
        </w:rPr>
        <w:t>https://pubmed.ncbi.nlm.nih.gov/djag328/</w:t>
      </w:r>
    </w:p>
    <w:p>
      <w:pPr>
        <w:pStyle w:val="Heading2"/>
      </w:pPr>
      <w:r>
        <w:t>HRS-4642+Adebrelimab bei KRAS-G12D-Pankreas-Ca: 43% Ansprechrate ohne Chemotherapie</w:t>
      </w:r>
    </w:p>
    <w:p>
      <w:r>
        <w:rPr>
          <w:i/>
          <w:color w:val="666666"/>
          <w:sz w:val="18"/>
        </w:rPr>
        <w:t>Shi S et al.  ·  Cancer Cell  ·  16.09.2026  ·  PMID 42748921</w:t>
      </w:r>
    </w:p>
    <w:p>
      <w:r>
        <w:t>Phase-1/2-Studie mit 48 Patienten (davon 37 in der RP2D-Kohorte) mit metastasiertem KRAS-G12D-mutiertem Pankreaskarzinom, chemofrei mit KRAS-inhibitor+PD-L1-Blocker behandelt.</w:t>
      </w:r>
    </w:p>
    <w:p>
      <w:r>
        <w:rPr>
          <w:b/>
        </w:rPr>
        <w:t xml:space="preserve">Ergebnis: </w:t>
      </w:r>
      <w:r>
        <w:t>Bestätigte ORR 43,2% (95% CI 27,1-60,5), Krankheitskontrollrate 81,1%, mediane Progressionsfreihheit 5,7 Monate, medianes Gesamtüberleben 11,5 Monate. Häufigste Nebenwirkungen: Hypercholesterinämie und Anämie je 50%.</w:t>
      </w:r>
    </w:p>
    <w:p>
      <w:r>
        <w:rPr>
          <w:b/>
          <w:sz w:val="19"/>
        </w:rPr>
        <w:t xml:space="preserve">Übertragbarkeit: </w:t>
      </w:r>
      <w:r>
        <w:rPr>
          <w:sz w:val="19"/>
        </w:rPr>
        <w:t>China-Studie, KRAS-Inhibitor nicht europäisch zugelassen, Sicherheitsdaten übertragbar.</w:t>
      </w:r>
    </w:p>
    <w:p>
      <w:r>
        <w:rPr>
          <w:color w:val="5A7D3A"/>
          <w:sz w:val="18"/>
        </w:rPr>
        <w:t>https://pubmed.ncbi.nlm.nih.gov/42748921/</w:t>
      </w:r>
    </w:p>
    <w:p>
      <w:pPr>
        <w:pStyle w:val="Heading2"/>
      </w:pPr>
      <w:r>
        <w:t>Triplet-Chemotherapie bei fortgeschrittenem Pankreas-Ca: 63% Ansprechrate, 60% Konversion</w:t>
      </w:r>
    </w:p>
    <w:p>
      <w:r>
        <w:rPr>
          <w:i/>
          <w:color w:val="666666"/>
          <w:sz w:val="18"/>
        </w:rPr>
        <w:t>Nagatani Y et al.  ·  Eur J Cancer  ·  10.09.2026  ·  PMID 42748587</w:t>
      </w:r>
    </w:p>
    <w:p>
      <w:r>
        <w:t>Japanische Phase-II-Multicenterstudie mit 30 Patienten, gesamte Chemotherapie (Gemcitabin, nab-Paclitaxel) mit oralem S-1 kombiniert.</w:t>
      </w:r>
    </w:p>
    <w:p>
      <w:r>
        <w:rPr>
          <w:b/>
        </w:rPr>
        <w:t xml:space="preserve">Ergebnis: </w:t>
      </w:r>
      <w:r>
        <w:t>ORR 63,3% (primärer Endpunkt erreicht), Krankheitskontrollrate 86,7%, medianes progressionsfreies Überleben 9,0 Monate, medianes Gesamtüberleben 15,0 Monate. 60% der lokalfortgeschrittenen Patienten zur Resektabilität konvertiert.</w:t>
      </w:r>
    </w:p>
    <w:p>
      <w:r>
        <w:rPr>
          <w:b/>
          <w:sz w:val="19"/>
        </w:rPr>
        <w:t xml:space="preserve">Übertragbarkeit: </w:t>
      </w:r>
      <w:r>
        <w:rPr>
          <w:sz w:val="19"/>
        </w:rPr>
        <w:t>Japanische Daten, S-1 in Deutschland verfügbar, Triplet potenziell praxisrelevant.</w:t>
      </w:r>
    </w:p>
    <w:p>
      <w:r>
        <w:rPr>
          <w:color w:val="5A7D3A"/>
          <w:sz w:val="18"/>
        </w:rPr>
        <w:t>https://pubmed.ncbi.nlm.nih.gov/42748587/</w:t>
      </w:r>
    </w:p>
    <w:p>
      <w:pPr>
        <w:pStyle w:val="Heading2"/>
      </w:pPr>
      <w:r>
        <w:t>Pembrolizumab bei Magenkarzinom: Überlebensvorteil 12,9 vs. 11,5 Monate bestätigt</w:t>
      </w:r>
    </w:p>
    <w:p>
      <w:r>
        <w:rPr>
          <w:i/>
          <w:color w:val="666666"/>
          <w:sz w:val="18"/>
        </w:rPr>
        <w:t>Rha SY et al.  ·  ESMO Open  ·  16.09.2026  ·  PMID 42748509</w:t>
      </w:r>
    </w:p>
    <w:p>
      <w:r>
        <w:t>Randomisierte Phase-III-Studie (KEYNOTE-859) mit 1.579 Patienten mit HER2-negativem lokal fortgeschrittenem/metastasiertem Magen-GÖJ-Adenokarzinom; 4,5-Jahre-Follow-up.</w:t>
      </w:r>
    </w:p>
    <w:p>
      <w:r>
        <w:rPr>
          <w:b/>
        </w:rPr>
        <w:t xml:space="preserve">Ergebnis: </w:t>
      </w:r>
      <w:r>
        <w:t>Median Overall Survival 12,9 Monate (Pembrolizumab+Chemotherapie) vs. 11,5 Monate (Placebo+Chemotherapie), Hazard Ratio 0,78 (95% CI 0,70-0,86). Grade-3/4-Nebenwirkungen 58,3% vs. 49,3%.</w:t>
      </w:r>
    </w:p>
    <w:p>
      <w:r>
        <w:rPr>
          <w:b/>
          <w:sz w:val="19"/>
        </w:rPr>
        <w:t xml:space="preserve">Übertragbarkeit: </w:t>
      </w:r>
      <w:r>
        <w:rPr>
          <w:sz w:val="19"/>
        </w:rPr>
        <w:t>Globale Studie, europäische und asiatische Zentren, vergleichbare Versorgung.</w:t>
      </w:r>
    </w:p>
    <w:p>
      <w:r>
        <w:rPr>
          <w:color w:val="5A7D3A"/>
          <w:sz w:val="18"/>
        </w:rPr>
        <w:t>https://pubmed.ncbi.nlm.nih.gov/42748509/</w:t>
      </w:r>
    </w:p>
    <w:p>
      <w:pPr>
        <w:pStyle w:val="Heading2"/>
      </w:pPr>
      <w:r>
        <w:t>Blinatumomab ersetzt Chemotherapie in hochrisiko-ALL: 83% ereignisfreies Überleben</w:t>
      </w:r>
    </w:p>
    <w:p>
      <w:r>
        <w:rPr>
          <w:i/>
          <w:color w:val="666666"/>
          <w:sz w:val="18"/>
        </w:rPr>
        <w:t>Schrappe M et al.  ·  N Engl J Med  ·  17.09.2026  ·  PMID 42748428</w:t>
      </w:r>
    </w:p>
    <w:p>
      <w:r>
        <w:t>Randomisierte europäisch-internationale Studie bei 358 Kindern mit neu diagnostizierter B-ALL, die statt zwei Chemotherapie-Zyklen zwei Blinatumomab-Zyklen erhielten.</w:t>
      </w:r>
    </w:p>
    <w:p>
      <w:r>
        <w:rPr>
          <w:b/>
        </w:rPr>
        <w:t xml:space="preserve">Ergebnis: </w:t>
      </w:r>
      <w:r>
        <w:t>4-Jahres-Ereignisfreiheit 83,0% (Blinatumomab) vs. 70,3% (Kontrolle), Hazard Ratio 0,51, p=0,0002. Behandlungsbedingte Infektionen: 23,9% vs. 69,4%, lebensbedrohliche Ereignisse 0,5% vs. 4,7%.</w:t>
      </w:r>
    </w:p>
    <w:p>
      <w:r>
        <w:rPr>
          <w:b/>
          <w:sz w:val="19"/>
        </w:rPr>
        <w:t xml:space="preserve">Übertragbarkeit: </w:t>
      </w:r>
      <w:r>
        <w:rPr>
          <w:sz w:val="19"/>
        </w:rPr>
        <w:t>Deutsches/österreichisches Zentrumsprotokoll (BFM-ALL 2017), direkte Übertragung möglich.</w:t>
      </w:r>
    </w:p>
    <w:p>
      <w:r>
        <w:rPr>
          <w:color w:val="5A7D3A"/>
          <w:sz w:val="18"/>
        </w:rPr>
        <w:t>https://pubmed.ncbi.nlm.nih.gov/42748428/</w:t>
      </w:r>
    </w:p>
    <w:p>
      <w:pPr>
        <w:pStyle w:val="Heading2"/>
      </w:pPr>
      <w:r>
        <w:t>Fünfjährliche statt dreijährliche Koloskopie nach Adenomektomie: Nichtunterlegenheit bestätigt</w:t>
      </w:r>
    </w:p>
    <w:p>
      <w:r>
        <w:rPr>
          <w:i/>
          <w:color w:val="666666"/>
          <w:sz w:val="18"/>
        </w:rPr>
        <w:t>Jover R et al.  ·  N Engl J Med  ·  17.09.2026  ·  PMID 42748427</w:t>
      </w:r>
    </w:p>
    <w:p>
      <w:r>
        <w:t>Europäische Nichtunterlegenheitsstudie mit 10.799 Patienten nach Hochrisiko-Adenomektomie, randomisiert zu erste Surveillance nach 5 vs. 3 Jahren.</w:t>
      </w:r>
    </w:p>
    <w:p>
      <w:r>
        <w:rPr>
          <w:b/>
        </w:rPr>
        <w:t xml:space="preserve">Ergebnis: </w:t>
      </w:r>
      <w:r>
        <w:t>5-Jahres-Darmkrebsinzidenz 0,77% (5-jährig) vs. 0,82% (3-jährig), Nichtunterlegenheitsgrenze erreicht. Krebstodesfälle: 0,06% vs. 0,04%.</w:t>
      </w:r>
    </w:p>
    <w:p>
      <w:r>
        <w:rPr>
          <w:b/>
          <w:sz w:val="19"/>
        </w:rPr>
        <w:t xml:space="preserve">Übertragbarkeit: </w:t>
      </w:r>
      <w:r>
        <w:rPr>
          <w:sz w:val="19"/>
        </w:rPr>
        <w:t>Europäisches Studiendesign (Spanien, Norwegen, Polen, Dänemark), Nachsorgeleitlinien unmittelbar anwendbar.</w:t>
      </w:r>
    </w:p>
    <w:p>
      <w:r>
        <w:rPr>
          <w:color w:val="5A7D3A"/>
          <w:sz w:val="18"/>
        </w:rPr>
        <w:t>https://pubmed.ncbi.nlm.nih.gov/42748427/</w:t>
      </w:r>
    </w:p>
    <w:p>
      <w:pPr>
        <w:pStyle w:val="Heading1"/>
      </w:pPr>
      <w:r>
        <w:t>Aufgenommen am 16.09.2026</w:t>
      </w:r>
    </w:p>
    <w:p>
      <w:pPr>
        <w:pStyle w:val="Heading2"/>
      </w:pPr>
      <w:r>
        <w:t>Waldbrand-Feinstaub verstärkt Sterblichkeit von Lungenkrebspatienten um 78 % pro μg/m³</w:t>
      </w:r>
    </w:p>
    <w:p>
      <w:r>
        <w:rPr>
          <w:i/>
          <w:color w:val="666666"/>
          <w:sz w:val="18"/>
        </w:rPr>
        <w:t>Zhang M et al.  ·  Lancet Oncol  ·  15.09.2026  ·  PMID 42743939</w:t>
      </w:r>
    </w:p>
    <w:p>
      <w:r>
        <w:t>Retrospektive Kohortenstudie mit 414.016 älteren Lungenkrebspatienten aus SEER-Medicare (2006–2019) untersuchte die Auswirkung langfristiger Exposition gegenüber Waldbrand-assoziiertem PM2,5 vs. Nicht-Waldbrand-PM2,5 auf Overall Survival.</w:t>
      </w:r>
    </w:p>
    <w:p>
      <w:r>
        <w:rPr>
          <w:b/>
        </w:rPr>
        <w:t xml:space="preserve">Ergebnis: </w:t>
      </w:r>
      <w:r>
        <w:t>Jeder 1-μg/m³-Anstieg Waldbrand-PM2,5 war mit HR 1,0782 (95%-KI 1,0641–1,0924; p&lt;0,0001) für erhöhte Mortalität assoziiert, nicht-Waldbrand-PM2,5 mit HR 1,0171. Insgesamt 696 (95%-KI 576–814) durchschnittliche jährliche überschüssige Todesfälle waren der Waldbrand-Exposition zuzuordnen – pro Einheit toxischer als reguläre Luftverschmutzung.</w:t>
      </w:r>
    </w:p>
    <w:p>
      <w:r>
        <w:rPr>
          <w:b/>
          <w:sz w:val="19"/>
        </w:rPr>
        <w:t xml:space="preserve">Übertragbarkeit: </w:t>
      </w:r>
      <w:r>
        <w:rPr>
          <w:sz w:val="19"/>
        </w:rPr>
        <w:t>USA/SEER-Daten: Nur Sicherheitsbefund übertragbar, Feinstaub-Exposition in Deutschland gering</w:t>
      </w:r>
    </w:p>
    <w:p>
      <w:r>
        <w:rPr>
          <w:color w:val="5A7D3A"/>
          <w:sz w:val="18"/>
        </w:rPr>
        <w:t>https://pubmed.ncbi.nlm.nih.gov/42743939/</w:t>
      </w:r>
    </w:p>
    <w:p>
      <w:pPr>
        <w:pStyle w:val="Heading2"/>
      </w:pPr>
      <w:r>
        <w:t>Nach Neoadjuvant-Therapie mit Triplet: Adjuvante Chemotherapie hilft nur bei ypN+/CRT, nicht bei TNT</w:t>
      </w:r>
    </w:p>
    <w:p>
      <w:r>
        <w:rPr>
          <w:i/>
          <w:color w:val="666666"/>
          <w:sz w:val="18"/>
        </w:rPr>
        <w:t>Denost Q et al.  ·  Eur J Cancer  ·  11.09.2026  ·  PMID 42743888</w:t>
      </w:r>
    </w:p>
    <w:p>
      <w:r>
        <w:t>Post-hoc-Analyse von zwei französischen randomisierten Multizenterstudie (GRECCAR4, PRODIGE23) mit 489 Patienten mit lokal fortgeschrittenem Rektumkarzinom, die den Nutzen adjuvanter Chemotherapie (AC) nach TNT mit FOLFIRINOX vs. CRT bewertete.</w:t>
      </w:r>
    </w:p>
    <w:p>
      <w:r>
        <w:rPr>
          <w:b/>
        </w:rPr>
        <w:t xml:space="preserve">Ergebnis: </w:t>
      </w:r>
      <w:r>
        <w:t>Nach Neoadjuvant-TNT zeigte AC keinen Vorteil in 3-Jahre-DFS für ypN+ (TNT-Arm; p=0,33) oder ypN0/cN+ (p=0,45). Nach CRT profitierten nur ypN+-Patienten: 3-Jahre-DFS verbessert nach AC (TNT: keine; CRT: signifikant; p&lt;0,001), 3-Jahre-OS und -DMFS ebenfalls nur nach CRT signifikant. Diese Daten unterstützen Therapie-Deeskalation in der TNT-Ära.</w:t>
      </w:r>
    </w:p>
    <w:p>
      <w:r>
        <w:rPr>
          <w:b/>
          <w:sz w:val="19"/>
        </w:rPr>
        <w:t xml:space="preserve">Übertragbarkeit: </w:t>
      </w:r>
      <w:r>
        <w:rPr>
          <w:sz w:val="19"/>
        </w:rPr>
        <w:t>Deutschland/Frankreich: Europäische High-Volume-Zentren, deutsches Versicherungssystem vergleichbar</w:t>
      </w:r>
    </w:p>
    <w:p>
      <w:r>
        <w:rPr>
          <w:color w:val="5A7D3A"/>
          <w:sz w:val="18"/>
        </w:rPr>
        <w:t>https://pubmed.ncbi.nlm.nih.gov/42743888/</w:t>
      </w:r>
    </w:p>
    <w:p>
      <w:pPr>
        <w:pStyle w:val="Heading2"/>
      </w:pPr>
      <w:r>
        <w:t>Zirkufierende bakterielle DNA prognostiziert Therapieerfolg bei fortgeschrittenem Bauchspeicheldrüsenkrebs</w:t>
      </w:r>
    </w:p>
    <w:p>
      <w:r>
        <w:rPr>
          <w:i/>
          <w:color w:val="666666"/>
          <w:sz w:val="18"/>
        </w:rPr>
        <w:t>Surendran SA et al.  ·  Eur J Cancer  ·  10.09.2026  ·  PMID 42743886</w:t>
      </w:r>
    </w:p>
    <w:p>
      <w:r>
        <w:t>Studie von 13 + 47 Patienten mit fortgeschrittenem Pankreaskarzinom untersuchte, ob Veränderungen der zirkulierenden freien bakteriellen DNA (cfbDNA) im Serum unter Chemotherapie (FFX oder GnP) den Behandlungserfolg vorhersagen.</w:t>
      </w:r>
    </w:p>
    <w:p>
      <w:r>
        <w:rPr>
          <w:b/>
        </w:rPr>
        <w:t xml:space="preserve">Ergebnis: </w:t>
      </w:r>
      <w:r>
        <w:t>Patienten mit Abfall der cfbDNA unter FFX erreichten 14,3 vs. 2,9 Monate PFS (p&lt;0,001) und 23,2 vs. 8,4 Monate OS (p=0,006). Ein konstanter oder erhöhter cfbDNA-Wert war mit schlechterem OS assoziiert (HR 11,75; 95%-KI 1,87–73,85; p=0,009). Diese Marker-dynamik war aber regimen-abhängig: Bei GnP zeigte der cfbDNA-Rückgang gegenteilige Effekte.</w:t>
      </w:r>
    </w:p>
    <w:p>
      <w:r>
        <w:rPr>
          <w:b/>
          <w:sz w:val="19"/>
        </w:rPr>
        <w:t xml:space="preserve">Übertragbarkeit: </w:t>
      </w:r>
      <w:r>
        <w:rPr>
          <w:sz w:val="19"/>
        </w:rPr>
        <w:t>Deutschland/Österreich: Europäische Krankenhauskohorten mit vergleichbarer Dokumentation</w:t>
      </w:r>
    </w:p>
    <w:p>
      <w:r>
        <w:rPr>
          <w:color w:val="5A7D3A"/>
          <w:sz w:val="18"/>
        </w:rPr>
        <w:t>https://pubmed.ncbi.nlm.nih.gov/42743886/</w:t>
      </w:r>
    </w:p>
    <w:p>
      <w:pPr>
        <w:pStyle w:val="Heading2"/>
      </w:pPr>
      <w:r>
        <w:t>Triplet-Chemotherapie plus Panitumumab in RAS wild-typ mKRK erhält Lebensqualität</w:t>
      </w:r>
    </w:p>
    <w:p>
      <w:r>
        <w:rPr>
          <w:i/>
          <w:color w:val="666666"/>
          <w:sz w:val="18"/>
        </w:rPr>
        <w:t>Klingler TM et al.  ·  Eur J Cancer  ·  11.09.2026  ·  PMID 42743885</w:t>
      </w:r>
    </w:p>
    <w:p>
      <w:r>
        <w:t>Sekundäranalyse der deutschen Phase-II-Studie VOLFI (AIO-KRK 0109) mit 105 randomisierten Patienten, die den Effekt von mFOLFOXIRI + Panitumumab vs. FOLFOXIRI auf Lebensqualität (EORTC QLQ-C30) untersuchte.</w:t>
      </w:r>
    </w:p>
    <w:p>
      <w:r>
        <w:rPr>
          <w:b/>
        </w:rPr>
        <w:t xml:space="preserve">Ergebnis: </w:t>
      </w:r>
      <w:r>
        <w:t>77 Patienten (51 vs. 26) führten ≥1 Lebensqualitäts-Fragebogen aus. Nach 12 Wochen keine statistisch signifikanten Unterschiede in Gesamt-HRQoL oder spezifischen Dimensionen. Patienten mit mFOLFOXIRI + Panitumumab mit Hautotoxizität zeigten trotz Toxizität keine assoziierte Lebensqualitätsverschlechterung. mFOLFOXIRI + Panitumumab war nicht mit schlechterer HRQoL assoziiert.</w:t>
      </w:r>
    </w:p>
    <w:p>
      <w:r>
        <w:rPr>
          <w:b/>
          <w:sz w:val="19"/>
        </w:rPr>
        <w:t xml:space="preserve">Übertragbarkeit: </w:t>
      </w:r>
      <w:r>
        <w:rPr>
          <w:sz w:val="19"/>
        </w:rPr>
        <w:t>Deutschland: Alle Zentren Charité und LMU München – direkt übertragbar</w:t>
      </w:r>
    </w:p>
    <w:p>
      <w:r>
        <w:rPr>
          <w:color w:val="5A7D3A"/>
          <w:sz w:val="18"/>
        </w:rPr>
        <w:t>https://pubmed.ncbi.nlm.nih.gov/42743885/</w:t>
      </w:r>
    </w:p>
    <w:p>
      <w:pPr>
        <w:pStyle w:val="Heading2"/>
      </w:pPr>
      <w:r>
        <w:t>Ältere Brustkrebs-Patienten haben häufiger PIK3CA-Mutationen und höhere Tumorlast</w:t>
      </w:r>
    </w:p>
    <w:p>
      <w:r>
        <w:rPr>
          <w:i/>
          <w:color w:val="666666"/>
          <w:sz w:val="18"/>
        </w:rPr>
        <w:t>Gupta H et al.  ·  ESMO Open  ·  14.09.2026  ·  PMID 42735455</w:t>
      </w:r>
    </w:p>
    <w:p>
      <w:r>
        <w:t>Studie von 2.379 Patienten mit metastasiertem Brustkrebs (853 jung, 1.311 mittleres Alter, 215 älter ≥70 Jahre) verglich Tumor-Genomlandschaft mittels Zielsequenzierung (OncoPanel) nach Altersgruppe.</w:t>
      </w:r>
    </w:p>
    <w:p>
      <w:r>
        <w:rPr>
          <w:b/>
        </w:rPr>
        <w:t xml:space="preserve">Ergebnis: </w:t>
      </w:r>
      <w:r>
        <w:t>Ältere Patienten zeigten höhere Häufigkeit von SNVs in PIK3CA (44%), TP53 (33%), CDH1 (22%). Nach Adjustierung war hohes Alter assoziiert mit mehr PIK3CA-SNVs (OR 1,21; 95%-KI 1,11–1,31; q&lt;0,001), CDH1-SNVs (OR 1,43; 95%-KI 1,21–1,68) und 26% mit ≥10 Mutationen/Mb (vs. 17% bei Jüngsten). Diese Unterschiede waren unabhängig von Tumorsubtyp.</w:t>
      </w:r>
    </w:p>
    <w:p>
      <w:r>
        <w:rPr>
          <w:b/>
          <w:sz w:val="19"/>
        </w:rPr>
        <w:t xml:space="preserve">Übertragbarkeit: </w:t>
      </w:r>
      <w:r>
        <w:rPr>
          <w:sz w:val="19"/>
        </w:rPr>
        <w:t>USA-Klinik: Vergleichbare Versicherungssysteme bei Umsetzung, genomische Testung in Deutschland ebenfalls Standard</w:t>
      </w:r>
    </w:p>
    <w:p>
      <w:r>
        <w:rPr>
          <w:color w:val="5A7D3A"/>
          <w:sz w:val="18"/>
        </w:rPr>
        <w:t>https://pubmed.ncbi.nlm.nih.gov/42735455/</w:t>
      </w:r>
    </w:p>
    <w:p>
      <w:pPr>
        <w:pStyle w:val="Heading2"/>
      </w:pPr>
      <w:r>
        <w:t>Immuntyp-Transition vorhersagt Checkpoint-Inhibitor-Anspruch besser als Ausgangszustand</w:t>
      </w:r>
    </w:p>
    <w:p>
      <w:r>
        <w:rPr>
          <w:i/>
          <w:color w:val="666666"/>
          <w:sz w:val="18"/>
        </w:rPr>
        <w:t>Lin Z et al.  ·  Cancer Cell  ·  14.09.2026  ·  PMID 42679812</w:t>
      </w:r>
    </w:p>
    <w:p>
      <w:r>
        <w:t>Longitudinale Single-Cell-RNA-Sequenzierung von 441 Proben aus 241 Patienten mit zehn Krebsentitäten untersuchte die Umgestaltung der Tumor-Immunmikroumgebung (TIME) unter Checkpoint-Inhibitor-Therapie und entwickelte eine prädiktive Signatur.</w:t>
      </w:r>
    </w:p>
    <w:p>
      <w:r>
        <w:rPr>
          <w:b/>
        </w:rPr>
        <w:t xml:space="preserve">Ergebnis: </w:t>
      </w:r>
      <w:r>
        <w:t>~40% der Tumore wechselten während Therapie zwischen TIME-Subtypen. Der Übergang (nicht der Ausgangszustand) war prognostischer: Günstige Übergänge zu entzündetem oder B-Zell-angereichertem Subtyp korrelierten mit verbessertem Ansprechen und Überleben. Eine 59-Gen-Signatur sagte Ansprechen und Überleben in 1.383 Baseline-Tumoren über 19 unabhängige Kohorten vorher (HR 2,15; KI-range über Publikationen relevant).</w:t>
      </w:r>
    </w:p>
    <w:p>
      <w:r>
        <w:rPr>
          <w:b/>
          <w:sz w:val="19"/>
        </w:rPr>
        <w:t xml:space="preserve">Übertragbarkeit: </w:t>
      </w:r>
      <w:r>
        <w:rPr>
          <w:sz w:val="19"/>
        </w:rPr>
        <w:t>International/Multi-Entity: Prinzipien auf deutsche Zentren mit Liquid Biopsy/Tumorboard anwendbar</w:t>
      </w:r>
    </w:p>
    <w:p>
      <w:r>
        <w:rPr>
          <w:color w:val="5A7D3A"/>
          <w:sz w:val="18"/>
        </w:rPr>
        <w:t>https://pubmed.ncbi.nlm.nih.gov/42679812/</w:t>
      </w:r>
    </w:p>
    <w:p>
      <w:pPr>
        <w:pStyle w:val="Heading1"/>
      </w:pPr>
      <w:r>
        <w:t>Aufgenommen am 15.09.2026</w:t>
      </w:r>
    </w:p>
    <w:p>
      <w:pPr>
        <w:pStyle w:val="Heading2"/>
      </w:pPr>
      <w:r>
        <w:t>HDR-Brachytherapie nach Strahlentherapie bei älteren Rektumkarzinom-Patienten: lokale Kontrolle bei 80 %</w:t>
      </w:r>
    </w:p>
    <w:p>
      <w:r>
        <w:rPr>
          <w:i/>
          <w:color w:val="666666"/>
          <w:sz w:val="18"/>
        </w:rPr>
        <w:t>Kristen A et al.  ·  Strahlenther Onkol  ·  14.09.2026  ·  PMID 42734824</w:t>
      </w:r>
    </w:p>
    <w:p>
      <w:r>
        <w:t>15 ältere/infirme Patienten mit Rektumkarzinom erhielten kombiniert externe Strahlentherapie (30-39 Gy/10-13 Fraktionen) und endorektale Hochdosis-Brachytherapie (12-24 Gy/2-3 Fraktionen); eine organerhaltende Methode für Operationsunfähige.</w:t>
      </w:r>
    </w:p>
    <w:p>
      <w:r>
        <w:rPr>
          <w:b/>
        </w:rPr>
        <w:t xml:space="preserve">Ergebnis: </w:t>
      </w:r>
      <w:r>
        <w:t>Nach 21 Monaten Median-Follow-up erreichten 12 von 15 Patienten (80 %) klinische komplette (n=6) oder nahezu komplette Remission (n=6); 4 Patienten (33 %) entwickelten später lokales Rezidiv, 4 (27 %) Fernmetastasen. Grad-3-Toxizität: 67 % Proktitis, 20 % schwere Rektalblutung (3 Patienten). Sicherheits- und Dosisoptimierungsfragen bleiben, besonders bei Antikoagulation.</w:t>
      </w:r>
    </w:p>
    <w:p>
      <w:r>
        <w:rPr>
          <w:b/>
          <w:sz w:val="19"/>
        </w:rPr>
        <w:t xml:space="preserve">Übertragbarkeit: </w:t>
      </w:r>
      <w:r>
        <w:rPr>
          <w:sz w:val="19"/>
        </w:rPr>
        <w:t>Deutschland, einzelzentrisch; Ansatz für zertifizierte Zentren mit Brachytherapie-Expertise geeignet</w:t>
      </w:r>
    </w:p>
    <w:p>
      <w:r>
        <w:rPr>
          <w:color w:val="5A7D3A"/>
          <w:sz w:val="18"/>
        </w:rPr>
        <w:t>https://pubmed.ncbi.nlm.nih.gov/42734824/</w:t>
      </w:r>
    </w:p>
    <w:p>
      <w:pPr>
        <w:pStyle w:val="Heading2"/>
      </w:pPr>
      <w:r>
        <w:t>Tambotatug Pelitecan (B7-H3-ADC) bei kleinzelligem Lungenkarzinom nach Platin: OS-Vorteil gegenüber Topotekan</w:t>
      </w:r>
    </w:p>
    <w:p>
      <w:r>
        <w:rPr>
          <w:i/>
          <w:color w:val="666666"/>
          <w:sz w:val="18"/>
        </w:rPr>
        <w:t>Zhao Y et al.  ·  N Engl J Med  ·  12.09.2026  ·  PMID 42734213</w:t>
      </w:r>
    </w:p>
    <w:p>
      <w:r>
        <w:t>Phase-III-TAISHAN-302, China: 451 Patienten mit rezidivierendem SCLC nach Platin-basierter Erstlinien-Therapie, randomisiert 1:1 zu Tambotatug Pelitecan (neuer B7-H3-zielgerichteter Antikörper-Wirkstoff-Konjugat) versus Topotekan; Interim-Analyse.</w:t>
      </w:r>
    </w:p>
    <w:p>
      <w:r>
        <w:rPr>
          <w:b/>
        </w:rPr>
        <w:t xml:space="preserve">Ergebnis: </w:t>
      </w:r>
      <w:r>
        <w:t>Median-OS: 13,3 Monate (Tam-Peli) vs. 9,4 Monate (Topotekan), HR 0,46 (95% KI 0,35–0,62, p&lt;0,001). Median-PFS: 7,4 vs. 2,8 Monate, HR 0,29 (p&lt;0,001). ORR: 59,1% vs. 9,7% (p&lt;0,001). Grad-≥3-AE: 55,4% vs. 77,9% (Tam-Peli günstiger). Diese Ergebnisse könnten neuen Standard für rezidiviertes SCLC begründen.</w:t>
      </w:r>
    </w:p>
    <w:p>
      <w:r>
        <w:rPr>
          <w:b/>
          <w:sz w:val="19"/>
        </w:rPr>
        <w:t xml:space="preserve">Übertragbarkeit: </w:t>
      </w:r>
      <w:r>
        <w:rPr>
          <w:sz w:val="19"/>
        </w:rPr>
        <w:t>China-Studie, globales Design; Zulassungsantrag ausstehend, deutsche Verfügbarkeit unklar – USA nur mit Vorbehalt übertragbar</w:t>
      </w:r>
    </w:p>
    <w:p>
      <w:r>
        <w:rPr>
          <w:color w:val="5A7D3A"/>
          <w:sz w:val="18"/>
        </w:rPr>
        <w:t>https://pubmed.ncbi.nlm.nih.gov/42734213/</w:t>
      </w:r>
    </w:p>
    <w:p>
      <w:pPr>
        <w:pStyle w:val="Heading2"/>
      </w:pPr>
      <w:r>
        <w:t>Tumoren unterdrücken T-Zell-Immunität durch Antioxidanzien – PRDX1 als therapeutisches Target</w:t>
      </w:r>
    </w:p>
    <w:p>
      <w:r>
        <w:rPr>
          <w:i/>
          <w:color w:val="666666"/>
          <w:sz w:val="18"/>
        </w:rPr>
        <w:t>Wesolowski AJ et al.  ·  Science  ·  03.09.2026  ·  PMID 42691162</w:t>
      </w:r>
    </w:p>
    <w:p>
      <w:r>
        <w:t>Grundlagenwerk zur Immunsuppression durch tumorales Peroxiredoxin-1 (PRDX1): Forschung zeigt, dass Tumoren Antioxidanzien in ihre Umgebung freisetzen und T-Zellen damit ihrer reaktiven Sauerstoffspezies berauben, was deren Signalübertragung blockiert.</w:t>
      </w:r>
    </w:p>
    <w:p>
      <w:r>
        <w:rPr>
          <w:b/>
        </w:rPr>
        <w:t xml:space="preserve">Ergebnis: </w:t>
      </w:r>
      <w:r>
        <w:t>PRDX1-Mangel in Tumoren verstärkte Antitumor-Immunität und verbesserte Immuntherapie-Antworten in Mausmodellen; Liquid Biopsy könnte PRDX1-Spiegel messen. Der Befund eröffnet neuen therapeutischen Ansatz: PRDX1-Inhibition könnte Immuntherapie-Resistenz überwinden.</w:t>
      </w:r>
    </w:p>
    <w:p>
      <w:r>
        <w:rPr>
          <w:b/>
          <w:sz w:val="19"/>
        </w:rPr>
        <w:t xml:space="preserve">Übertragbarkeit: </w:t>
      </w:r>
      <w:r>
        <w:rPr>
          <w:sz w:val="19"/>
        </w:rPr>
        <w:t>Präklinisch; klinischer Weg unklar, aber identifiziertes Targetprotein (PRDX1) ist actionable für Therapeutika-Entwicklung</w:t>
      </w:r>
    </w:p>
    <w:p>
      <w:r>
        <w:rPr>
          <w:color w:val="5A7D3A"/>
          <w:sz w:val="18"/>
        </w:rPr>
        <w:t>https://pubmed.ncbi.nlm.nih.gov/42691162/</w:t>
      </w:r>
    </w:p>
    <w:p>
      <w:pPr>
        <w:pStyle w:val="Heading2"/>
      </w:pPr>
      <w:r>
        <w:t>Real-World-Evidence zur Zulassung von Krebsmedikamenten: 18 Anträge mit Single-Arm-Trials und RWE, 2022–2025</w:t>
      </w:r>
    </w:p>
    <w:p>
      <w:r>
        <w:rPr>
          <w:i/>
          <w:color w:val="666666"/>
          <w:sz w:val="18"/>
        </w:rPr>
        <w:t>Su L et al.  ·  Oncologist  ·  06.08.2026  ·  PMID 42664160</w:t>
      </w:r>
    </w:p>
    <w:p>
      <w:r>
        <w:t>Analyse von 200 Onkologie-Zulassungen (FDA 134, EMA 66) 2022–2025: 18 Anträge (7 FDA, 11 EMA) kombiniert Single-Arm-Trials mit Real-World-Evidence; meist für Hämatologika (53 %), Hälfte auf elektronischen Krankenhauspflichten basiert.</w:t>
      </w:r>
    </w:p>
    <w:p>
      <w:r>
        <w:rPr>
          <w:b/>
        </w:rPr>
        <w:t xml:space="preserve">Ergebnis: </w:t>
      </w:r>
      <w:r>
        <w:t>RWE diente in 2 Fällen als "substantive evidence", ansonsten als kontextuell/supportiv. Häufige Mängel: kleine Fallzahlen, Population-Heterogenität, fehlende Kovariaten, non-kontempore Vergleiche, Post-hoc-Design. Regulatoren bestätigen methodologische Grenzen; Harmonisierung regulatorischer Guidance ist notwendig.</w:t>
      </w:r>
    </w:p>
    <w:p>
      <w:r>
        <w:rPr>
          <w:b/>
          <w:sz w:val="19"/>
        </w:rPr>
        <w:t xml:space="preserve">Übertragbarkeit: </w:t>
      </w:r>
      <w:r>
        <w:rPr>
          <w:sz w:val="19"/>
        </w:rPr>
        <w:t>USA-Zulassungssystem und EMA; Übertrag auf deutsches AMNOG-Verfahren begrenzt – AMNOG verlangt höhere RCT-Standard</w:t>
      </w:r>
    </w:p>
    <w:p>
      <w:r>
        <w:rPr>
          <w:color w:val="5A7D3A"/>
          <w:sz w:val="18"/>
        </w:rPr>
        <w:t>https://pubmed.ncbi.nlm.nih.gov/42664160/</w:t>
      </w:r>
    </w:p>
    <w:p>
      <w:pPr>
        <w:pStyle w:val="Heading2"/>
      </w:pPr>
      <w:r>
        <w:t>Dosiseskalation (80 Gy) bei Hochrisiko-Prostatakarzinom erhöht 10-Jahres-PFS deutlich</w:t>
      </w:r>
    </w:p>
    <w:p>
      <w:r>
        <w:rPr>
          <w:i/>
          <w:color w:val="666666"/>
          <w:sz w:val="18"/>
        </w:rPr>
        <w:t>Hennequin C et al.  ·  Lancet Oncol  ·  Sept. 2026  ·  PMID 42636837</w:t>
      </w:r>
    </w:p>
    <w:p>
      <w:r>
        <w:t>Französische Phase-III-Studie (GETUG-AFU-18) mit 505 Patienten mit hochrisiko Prostatakarzinom: Vergleich externe Strahlentherapie 80 Gy versus 70 Gy, kombiniert mit Langzeit-Androgenentzug, über 9,5 Jahre Median-Follow-up.</w:t>
      </w:r>
    </w:p>
    <w:p>
      <w:r>
        <w:rPr>
          <w:b/>
        </w:rPr>
        <w:t xml:space="preserve">Ergebnis: </w:t>
      </w:r>
      <w:r>
        <w:t>10-Jahres-PFS: 83,6 % (80-Gy-Arm) vs. 72,2 % (70-Gy-Arm), Hazard Ratio 0,56 (95% KI 0,40–0,78, p&lt;0,0001). 5-Jahres-PFS: 91,4 % vs. 88,1 %. Grad-3-Toxizität akut 24–25 %, spät 7–8 % in beiden Gruppen. Sexuelle und urogenitale Nebenwirkungen waren frequent, aber nicht unterschiedlich.</w:t>
      </w:r>
    </w:p>
    <w:p>
      <w:r>
        <w:rPr>
          <w:b/>
          <w:sz w:val="19"/>
        </w:rPr>
        <w:t xml:space="preserve">Übertragbarkeit: </w:t>
      </w:r>
      <w:r>
        <w:rPr>
          <w:sz w:val="19"/>
        </w:rPr>
        <w:t>Frankreich, vergleichbare Versicherungsstruktur; deutsche S3-Leitlinien zu Hochrisiko-Prostata-Strahlentherapie sollten Dosiseskalation prüfen</w:t>
      </w:r>
    </w:p>
    <w:p>
      <w:r>
        <w:rPr>
          <w:color w:val="5A7D3A"/>
          <w:sz w:val="18"/>
        </w:rPr>
        <w:t>https://pubmed.ncbi.nlm.nih.gov/42636837/</w:t>
      </w:r>
    </w:p>
    <w:p>
      <w:pPr>
        <w:pStyle w:val="Heading2"/>
      </w:pPr>
      <w:r>
        <w:t>Adjuvant Alectinib (600 mg b.i.d. × 24 Monate) bei ALK-positivem NSCLC nach Resektion: verträglicher, Lebensqualität erhalten</w:t>
      </w:r>
    </w:p>
    <w:p>
      <w:r>
        <w:rPr>
          <w:i/>
          <w:color w:val="666666"/>
          <w:sz w:val="18"/>
        </w:rPr>
        <w:t>Dziadziuszko R et al.  ·  Lancet Oncol  ·  Sept. 2026  ·  PMID 42636834</w:t>
      </w:r>
    </w:p>
    <w:p>
      <w:r>
        <w:t>Phase-III-ALINA-Studie, 257 Patienten mit reseziertem ALK+NSCLC (Stadium IB–IIIA): Vergleich Adjuvant-Alectinib versus Platinum-basierte Chemotherapie; Nebenwirkungen und Lebensqualität (SF-36v2) werden berichtet; Disease-Free-Survival bereits publiziert.</w:t>
      </w:r>
    </w:p>
    <w:p>
      <w:r>
        <w:rPr>
          <w:b/>
        </w:rPr>
        <w:t xml:space="preserve">Ergebnis: </w:t>
      </w:r>
      <w:r>
        <w:t>Schwergrad 3–4-AE mit Alectinib: 6% (CPK-Anstieg), vs. Chemotherapie 10% (Neutropenie). Therapie-Abbrüche: 5% vs. 13% (signifikant weniger mit Alectinib). SF-36v2-Domänen (Körperschmerz, Rollenfunktion, psychische Gesundheit, soziale Funktion, Vitalität) zeigten klinisch bedeutsame Verbesserung ab Woche 12; Scores blieben über 2 Jahre stabil bei Populationsnorm (50).</w:t>
      </w:r>
    </w:p>
    <w:p>
      <w:r>
        <w:rPr>
          <w:b/>
          <w:sz w:val="19"/>
        </w:rPr>
        <w:t xml:space="preserve">Übertragbarkeit: </w:t>
      </w:r>
      <w:r>
        <w:rPr>
          <w:sz w:val="19"/>
        </w:rPr>
        <w:t>International; Alectinib bereits in Deutschland zugelassen, Verträglichkeitsdaten unterstützen adjuvante Standardisierung</w:t>
      </w:r>
    </w:p>
    <w:p>
      <w:r>
        <w:rPr>
          <w:color w:val="5A7D3A"/>
          <w:sz w:val="18"/>
        </w:rPr>
        <w:t>https://pubmed.ncbi.nlm.nih.gov/42636834/</w:t>
      </w:r>
    </w:p>
    <w:p>
      <w:pPr>
        <w:pStyle w:val="Heading2"/>
      </w:pPr>
      <w:r>
        <w:t>Durvalumab+Tremelimumab+Lenvatinib+TACE versus TACE allein bei Hepatozellulärem Karzinom: PFS-Vorteil</w:t>
      </w:r>
    </w:p>
    <w:p>
      <w:r>
        <w:rPr>
          <w:i/>
          <w:color w:val="666666"/>
          <w:sz w:val="18"/>
        </w:rPr>
        <w:t>Kudo M et al.  ·  Lancet Oncol  ·  Sept. 2026  ·  PMID 42636832</w:t>
      </w:r>
    </w:p>
    <w:p>
      <w:r>
        <w:t>Phase-III-Studie EMERALD-3 mit 760 Patienten (embolisierbar, Child-Pugh A): Vergleich STRIDE (Durvalumab+Tremelimumab) mit oder ohne Lenvatinib, kombiniert mit transarterieller Chemoembolisation (TACE), versus TACE allein.</w:t>
      </w:r>
    </w:p>
    <w:p>
      <w:r>
        <w:rPr>
          <w:b/>
        </w:rPr>
        <w:t xml:space="preserve">Ergebnis: </w:t>
      </w:r>
      <w:r>
        <w:t>Median-PFS (STRIDE+Lenvatinib vs. TACE): 13,0 vs. 9,8 Monate, HR 0,70 (95% KI 0,57–0,86, p=0,0007). Median-OS: 39,5 vs. 34,7 Monate, HR 0,84 (p=0,18, nicht signifikant). Grad-3/4-AE: Hypertonie 12% (STRIDE+Lenvatinib), post-embolization-Syndrom 6% (STRIDE+TACE). 7 Treatment-Related Deaths (2%). STRIDE-Regimen als neuer Standard empfohlen.</w:t>
      </w:r>
    </w:p>
    <w:p>
      <w:r>
        <w:rPr>
          <w:b/>
          <w:sz w:val="19"/>
        </w:rPr>
        <w:t xml:space="preserve">Übertragbarkeit: </w:t>
      </w:r>
      <w:r>
        <w:rPr>
          <w:sz w:val="19"/>
        </w:rPr>
        <w:t>Global, inklusive europäischer Zentren; Zulassung in Genehmigungsverfahren, AMNOG-Bewertung ausstehend</w:t>
      </w:r>
    </w:p>
    <w:p>
      <w:r>
        <w:rPr>
          <w:color w:val="5A7D3A"/>
          <w:sz w:val="18"/>
        </w:rPr>
        <w:t>https://pubmed.ncbi.nlm.nih.gov/42636832/</w:t>
      </w:r>
    </w:p>
    <w:p>
      <w:pPr>
        <w:pStyle w:val="Heading1"/>
      </w:pPr>
      <w:r>
        <w:t>Aufgenommen am 14.09.2026</w:t>
      </w:r>
    </w:p>
    <w:p>
      <w:pPr>
        <w:pStyle w:val="Heading2"/>
      </w:pPr>
      <w:r>
        <w:t>Teclistamab in smolderendem Myelom hocheffektiv: Phase-2-Trial</w:t>
      </w:r>
    </w:p>
    <w:p>
      <w:r>
        <w:rPr>
          <w:i/>
          <w:color w:val="666666"/>
          <w:sz w:val="18"/>
        </w:rPr>
        <w:t>Nadeem O et al.  ·  Nat Med  ·  11.09.2026  ·  PMID 42728379</w:t>
      </w:r>
    </w:p>
    <w:p>
      <w:r>
        <w:t>Randomisierte Phase-2-ImmunoPRISM-Studie verglich Teclistamab (BCMA-Bispecific Antibody, Fixdauer) mit Lenalidomid/Dexamethason bei 59 Patienten mit Hochrisiko-smolderendem multiplem Myelom.</w:t>
      </w:r>
    </w:p>
    <w:p>
      <w:r>
        <w:rPr>
          <w:b/>
        </w:rPr>
        <w:t xml:space="preserve">Ergebnis: </w:t>
      </w:r>
      <w:r>
        <w:t>Teclistamab: komplette Remission 77,8% vs. 0% (Rd); minimale Resterkrankung-Negativität (10-5) 82,2%; 2-Jahres-Progressionsfreies Überleben 92% vs. 49%; Grad 1–2 Zytokine-Freisetzung, kein Grade-3-Infektionsanstieg, keine Todesfälle.</w:t>
      </w:r>
    </w:p>
    <w:p>
      <w:r>
        <w:rPr>
          <w:b/>
          <w:sz w:val="19"/>
        </w:rPr>
        <w:t xml:space="preserve">Übertragbarkeit: </w:t>
      </w:r>
      <w:r>
        <w:rPr>
          <w:sz w:val="19"/>
        </w:rPr>
        <w:t>Phasen-2-Studie mit Potential für Frühintervention; internationale Prüfung, Übertragbarkeit begrenzt bis zur Phase-3-Validierung.</w:t>
      </w:r>
    </w:p>
    <w:p>
      <w:r>
        <w:rPr>
          <w:color w:val="5A7D3A"/>
          <w:sz w:val="18"/>
        </w:rPr>
        <w:t>https://pubmed.ncbi.nlm.nih.gov/42728379/</w:t>
      </w:r>
    </w:p>
    <w:p>
      <w:pPr>
        <w:pStyle w:val="Heading2"/>
      </w:pPr>
      <w:r>
        <w:t>HCC-Management in Asien nach europäischen Leitlinien adaptiert</w:t>
      </w:r>
    </w:p>
    <w:p>
      <w:r>
        <w:rPr>
          <w:i/>
          <w:color w:val="666666"/>
          <w:sz w:val="18"/>
        </w:rPr>
        <w:t>Tan CK et al.  ·  ESMO Open  ·  09.07.2026  ·  PMID 42660571</w:t>
      </w:r>
    </w:p>
    <w:p>
      <w:r>
        <w:t>Pan-asiatische Expertengruppe adaptierte ESMO-Leitlinien zu Diagnose, Therapie und Nachsorge des Hepatozellulären Karzinoms für zehn asiatische Länder.</w:t>
      </w:r>
    </w:p>
    <w:p>
      <w:r>
        <w:rPr>
          <w:b/>
        </w:rPr>
        <w:t xml:space="preserve">Ergebnis: </w:t>
      </w:r>
      <w:r>
        <w:t>Konsens-Richtlinie mit regionsspezifischen Empfehlungen verabschiedet; Fokus auf harmonisierte Behandlung und Zugang trotz regionaler Unterschiede in Arzneimittelzulassung und Erstattung.</w:t>
      </w:r>
    </w:p>
    <w:p>
      <w:r>
        <w:rPr>
          <w:b/>
          <w:sz w:val="19"/>
        </w:rPr>
        <w:t xml:space="preserve">Übertragbarkeit: </w:t>
      </w:r>
      <w:r>
        <w:rPr>
          <w:sz w:val="19"/>
        </w:rPr>
        <w:t>Internationale Leitlinie mit europäischen Standards, aber auch asiatischen Besonderheiten; teilweise auf deutsches System übertragbar.</w:t>
      </w:r>
    </w:p>
    <w:p>
      <w:r>
        <w:rPr>
          <w:color w:val="5A7D3A"/>
          <w:sz w:val="18"/>
        </w:rPr>
        <w:t>https://pubmed.ncbi.nlm.nih.gov/42660571/</w:t>
      </w:r>
    </w:p>
    <w:p>
      <w:pPr>
        <w:pStyle w:val="Heading2"/>
      </w:pPr>
      <w:r>
        <w:t>Epigenetisches Altern in Dickdarmgewebe zeigt Lebensstilfaktoren-Einfluss</w:t>
      </w:r>
    </w:p>
    <w:p>
      <w:r>
        <w:rPr>
          <w:i/>
          <w:color w:val="666666"/>
          <w:sz w:val="18"/>
        </w:rPr>
        <w:t>Hardikar S et al.  ·  J Natl Cancer Inst  ·  25.08.2026  ·  PMID 42640567</w:t>
      </w:r>
    </w:p>
    <w:p>
      <w:r>
        <w:t>Analyse von epigenetischen Alterungsmodellen (Horvath, Hannum, Zhang u.a.) in Kolonialgewebe von 554 Proben (96 normal, 245 angrenzend, 208 Tumore) zur Untersuchung von Zusammenhängen mit Lebensstilfaktoren und Krebsentwicklung.</w:t>
      </w:r>
    </w:p>
    <w:p>
      <w:r>
        <w:rPr>
          <w:b/>
        </w:rPr>
        <w:t xml:space="preserve">Ergebnis: </w:t>
      </w:r>
      <w:r>
        <w:t>Horvath-Modell zeigte beste Korrelation mit chronologischem Alter (r &gt;0,70) in normalem Gewebe; signifikante Alters-Beschleunigung in tumoren vs. normal/angrenzend bei allen Modellen; körperliche Aktivität (PhenoAge), Rauchen (GrimAge) und Alkoholkonsum (Horvath, Mitose-Uhren) assoziiert mit epigenetischem Altern in angrenzender Mukosa.</w:t>
      </w:r>
    </w:p>
    <w:p>
      <w:r>
        <w:rPr>
          <w:b/>
          <w:sz w:val="19"/>
        </w:rPr>
        <w:t xml:space="preserve">Übertragbarkeit: </w:t>
      </w:r>
      <w:r>
        <w:rPr>
          <w:sz w:val="19"/>
        </w:rPr>
        <w:t>USA/deutsche Zentren, diverse Populationen; Grundlagenforschung zu Risikostratifikation.</w:t>
      </w:r>
    </w:p>
    <w:p>
      <w:r>
        <w:rPr>
          <w:color w:val="5A7D3A"/>
          <w:sz w:val="18"/>
        </w:rPr>
        <w:t>https://pubmed.ncbi.nlm.nih.gov/42640567/</w:t>
      </w:r>
    </w:p>
    <w:p>
      <w:pPr>
        <w:pStyle w:val="Heading2"/>
      </w:pPr>
      <w:r>
        <w:t>Tebentafusp gegen Uveales Melanom im UK-Programm wirksam wie Phase-3-Daten</w:t>
      </w:r>
    </w:p>
    <w:p>
      <w:r>
        <w:rPr>
          <w:i/>
          <w:color w:val="666666"/>
          <w:sz w:val="18"/>
        </w:rPr>
        <w:t>Joseph M et al.  ·  Oncologist  ·  09.09.2026  ·  PMID 42640561</w:t>
      </w:r>
    </w:p>
    <w:p>
      <w:r>
        <w:t>Retrospektive Real-World-Effektivitäts- und Toxizitäts-Analyse der UK Expanded Access Programme (EAP) mit 88 Patienten mit metastasiertem uvealen Melanom, behandelt Juli 2021–Juni 2023.</w:t>
      </w:r>
    </w:p>
    <w:p>
      <w:r>
        <w:rPr>
          <w:b/>
        </w:rPr>
        <w:t xml:space="preserve">Ergebnis: </w:t>
      </w:r>
      <w:r>
        <w:t>Medianes Gesamtüberleben 21 Monate (95%-KI 17-NR); medianes progressionsfreies Überleben 2,76 Monate (95%-KI 2,53–3,22); 12-Monats-Überlebenrate 75% (95%-KI 66,1–85,6); niedrigere LDH und niedrigere Leberlastung tendierten zu besserem Überleben; LDH ≥2× obere Normgrenze zeigte sehr schlechte Prognose; keine Grade ≥3 Toxizität nach Dosis 5.</w:t>
      </w:r>
    </w:p>
    <w:p>
      <w:r>
        <w:rPr>
          <w:b/>
          <w:sz w:val="19"/>
        </w:rPr>
        <w:t xml:space="preserve">Übertragbarkeit: </w:t>
      </w:r>
      <w:r>
        <w:rPr>
          <w:sz w:val="19"/>
        </w:rPr>
        <w:t>Britisches NHS-System, vergleichbar mit deutschem, Real-World-Evidenz für Kostenträger relevant.</w:t>
      </w:r>
    </w:p>
    <w:p>
      <w:r>
        <w:rPr>
          <w:color w:val="5A7D3A"/>
          <w:sz w:val="18"/>
        </w:rPr>
        <w:t>https://pubmed.ncbi.nlm.nih.gov/42640561/</w:t>
      </w:r>
    </w:p>
    <w:p>
      <w:pPr>
        <w:pStyle w:val="Heading2"/>
      </w:pPr>
      <w:r>
        <w:t>Daratumumab+Lenalidomid verlängert Überleben im älteren Myelom dauerhaft</w:t>
      </w:r>
    </w:p>
    <w:p>
      <w:r>
        <w:rPr>
          <w:i/>
          <w:color w:val="666666"/>
          <w:sz w:val="18"/>
        </w:rPr>
        <w:t>Facon T et al.  ·  Leukemia  ·  24.08.2026  ·  PMID 42637879</w:t>
      </w:r>
    </w:p>
    <w:p>
      <w:r>
        <w:t>Finale Analyse der MAIA-Studie: Randomisierte Phase-III-Prüfung zu Daratumumab+Lenalidomid/Dexamethason (D-Rd) vs. Lenalidomid/Dexamethason (Rd) bei 737 nicht-transplant-fähigen Patienten mit neu diagnostiziertem multiplem Myelom.</w:t>
      </w:r>
    </w:p>
    <w:p>
      <w:r>
        <w:rPr>
          <w:b/>
        </w:rPr>
        <w:t xml:space="preserve">Ergebnis: </w:t>
      </w:r>
      <w:r>
        <w:t>Medianes Gesamtüberleben: 90,3 Monate (D-Rd) vs. 64,1 Monate (Rd), HR 0,67 (95%-KI 0,55–0,82); 7-Jahres-Überleben 53,1% vs. 39,3%; mediane Zeit bis Folgetherapie nicht erreicht vs. 42,4 Monate. Follow-up &gt;7 Jahre.</w:t>
      </w:r>
    </w:p>
    <w:p>
      <w:r>
        <w:rPr>
          <w:b/>
          <w:sz w:val="19"/>
        </w:rPr>
        <w:t xml:space="preserve">Übertragbarkeit: </w:t>
      </w:r>
      <w:r>
        <w:rPr>
          <w:sz w:val="19"/>
        </w:rPr>
        <w:t>Multinationale Studie; Basis für Leitlinienstandard bei älteren Patienten, in Deutschland anwendbar.</w:t>
      </w:r>
    </w:p>
    <w:p>
      <w:r>
        <w:rPr>
          <w:color w:val="5A7D3A"/>
          <w:sz w:val="18"/>
        </w:rPr>
        <w:t>https://pubmed.ncbi.nlm.nih.gov/42637879/</w:t>
      </w:r>
    </w:p>
    <w:p>
      <w:pPr>
        <w:pStyle w:val="Heading2"/>
      </w:pPr>
      <w:r>
        <w:t>Olaparib-Erhaltung bei BRCA-mutiertem Brustkrebs: 6-Jahres-Vorteile halten an</w:t>
      </w:r>
    </w:p>
    <w:p>
      <w:r>
        <w:rPr>
          <w:i/>
          <w:color w:val="666666"/>
          <w:sz w:val="18"/>
        </w:rPr>
        <w:t>Garber JE et al.  ·  Ann Oncol  ·  24.08.2026  ·  PMID 42636977</w:t>
      </w:r>
    </w:p>
    <w:p>
      <w:r>
        <w:t>Dritte geplante Zwischenanalyse der randomisierten Phase-III-OlympiA-Studie zu adjuvantem Olaparib (PARP-Inhibitor) versus Placebo nach Chemotherapie bei 1.836 Patientinnen mit Keimbahn-BRCA-Mutation und HER2-negativem Hochrisiko-Brustkrebs.</w:t>
      </w:r>
    </w:p>
    <w:p>
      <w:r>
        <w:rPr>
          <w:b/>
        </w:rPr>
        <w:t xml:space="preserve">Ergebnis: </w:t>
      </w:r>
      <w:r>
        <w:t>Bei 6,1 Jahren medianer Nachbeobachtung: Invasives rezidivfreies Überleben (HR 0,65; 95%-KI 0,53–0,78), Gesamtüberleben (HR 0,72; 95%-KI 0,56–0,93); 6-Jahres-Überleben 87,5% vs. 83,2%; keine neuen Sicherheitssignale, kein erhöhtes MDS/AML-Risiko (0,4% vs. 0,7%).</w:t>
      </w:r>
    </w:p>
    <w:p>
      <w:r>
        <w:rPr>
          <w:b/>
          <w:sz w:val="19"/>
        </w:rPr>
        <w:t xml:space="preserve">Übertragbarkeit: </w:t>
      </w:r>
      <w:r>
        <w:rPr>
          <w:sz w:val="19"/>
        </w:rPr>
        <w:t>Multinationale Studie mit europäischen und deutschen Zentren; Befund ändert Leitlinienempfehlungen.</w:t>
      </w:r>
    </w:p>
    <w:p>
      <w:r>
        <w:rPr>
          <w:color w:val="5A7D3A"/>
          <w:sz w:val="18"/>
        </w:rPr>
        <w:t>https://pubmed.ncbi.nlm.nih.gov/42636977/</w:t>
      </w:r>
    </w:p>
    <w:p>
      <w:pPr>
        <w:pStyle w:val="Heading1"/>
      </w:pPr>
      <w:r>
        <w:t>Aufgenommen am 13.09.2026</w:t>
      </w:r>
    </w:p>
    <w:p>
      <w:pPr>
        <w:pStyle w:val="Heading2"/>
      </w:pPr>
      <w:r>
        <w:t>Genomische Alterationen in Hirn-Metastasen von Brustkrebs: 76,8 % haben therapeutisch nutzbare Targets</w:t>
      </w:r>
    </w:p>
    <w:p>
      <w:r>
        <w:rPr>
          <w:i/>
          <w:color w:val="666666"/>
          <w:sz w:val="18"/>
        </w:rPr>
        <w:t>Griguolo G et al.  ·  ESMO Open  ·  11.09.2026  ·  PMID 42727421</w:t>
      </w:r>
    </w:p>
    <w:p>
      <w:r>
        <w:t>Whole-exome-Sequenzierung von 56 Hirn-Metastasen-Proben aus Brustkrebs-Patienten zur Identifikation klinisch umsetzbarer genomischer Alterationen nach ESCAT-Kriterien.</w:t>
      </w:r>
    </w:p>
    <w:p>
      <w:r>
        <w:rPr>
          <w:b/>
        </w:rPr>
        <w:t xml:space="preserve">Ergebnis: </w:t>
      </w:r>
      <w:r>
        <w:t>76,8 % zeigten ESCAT-I/II-Alterationen; häufigste waren DNA-Reparatur-Gene (BRCA1/2/PALB2: 53,6 %); biallele Inaktivierung bei 19,6 % (höher bei HER2-negativ: 26 % HR-neg/HER2-neg, 21 % HR-pos/HER2-neg); PIK3CA/AKT1/PTEN-Alterationen in 48,2 %; kein ESR1 in HR-positiven; hotspot PIK3CA bei HER2-positivem assoziiert mit schlechterer Prognose.</w:t>
      </w:r>
    </w:p>
    <w:p>
      <w:r>
        <w:rPr>
          <w:b/>
          <w:sz w:val="19"/>
        </w:rPr>
        <w:t xml:space="preserve">Übertragbarkeit: </w:t>
      </w:r>
      <w:r>
        <w:rPr>
          <w:sz w:val="19"/>
        </w:rPr>
        <w:t>Italienisch-französische Kooperation, ESCAT-Klassifikation europäisch – direkt auf deutsches Targeting-System übertragbar.</w:t>
      </w:r>
    </w:p>
    <w:p>
      <w:r>
        <w:rPr>
          <w:color w:val="5A7D3A"/>
          <w:sz w:val="18"/>
        </w:rPr>
        <w:t>https://pubmed.ncbi.nlm.nih.gov/42727421/</w:t>
      </w:r>
    </w:p>
    <w:p>
      <w:pPr>
        <w:pStyle w:val="Heading2"/>
      </w:pPr>
      <w:r>
        <w:t>Hautkrebs-Bestrahlungen um 79% gestiegen: Trends der Radioonkologie 2015–2022</w:t>
      </w:r>
    </w:p>
    <w:p>
      <w:r>
        <w:rPr>
          <w:i/>
          <w:color w:val="666666"/>
          <w:sz w:val="18"/>
        </w:rPr>
        <w:t>Diefenhardt M et al.  ·  Strahlenther Onkol  ·  11.09.2026  ·  PMID 42726226</w:t>
      </w:r>
    </w:p>
    <w:p>
      <w:r>
        <w:t>Retrospektive Analyse von 8.842 Patienten in einer deutschen Uniklinik-Radiotherapie zwischen 2015 und 2022 zu Trends in Tumorentitäten, Alter und Behandlungsabständen.</w:t>
      </w:r>
    </w:p>
    <w:p>
      <w:r>
        <w:rPr>
          <w:b/>
        </w:rPr>
        <w:t xml:space="preserve">Ergebnis: </w:t>
      </w:r>
      <w:r>
        <w:t>Hautkrebs-Bestrahlungen stiegen um 79 %, Prostata um 10 %, Medianalter von 62 auf 64 Jahre; 47 % der Patienten kamen aus 10-km-Radius; Pandemie 2020-2021 führte zu keinen signifikanten Veränderungen in Patientenzahlen oder Tumortyp-Verteilung.</w:t>
      </w:r>
    </w:p>
    <w:p>
      <w:r>
        <w:rPr>
          <w:b/>
          <w:sz w:val="19"/>
        </w:rPr>
        <w:t xml:space="preserve">Übertragbarkeit: </w:t>
      </w:r>
      <w:r>
        <w:rPr>
          <w:sz w:val="19"/>
        </w:rPr>
        <w:t>Deutsche Uniklinik-Daten, direkt auf deutsches Radiotherapie-Versorgungssystem übertragbar.</w:t>
      </w:r>
    </w:p>
    <w:p>
      <w:r>
        <w:rPr>
          <w:color w:val="5A7D3A"/>
          <w:sz w:val="18"/>
        </w:rPr>
        <w:t>https://pubmed.ncbi.nlm.nih.gov/42726226/</w:t>
      </w:r>
    </w:p>
    <w:p>
      <w:pPr>
        <w:pStyle w:val="Heading2"/>
      </w:pPr>
      <w:r>
        <w:t>Cell-free DNA in Großzelliger B-Zell-Lymphom: technische Anforderungen für Minimal-Residual-Disease-Monitoring</w:t>
      </w:r>
    </w:p>
    <w:p>
      <w:r>
        <w:rPr>
          <w:i/>
          <w:color w:val="666666"/>
          <w:sz w:val="18"/>
        </w:rPr>
        <w:t>Krupka JA et al.  ·  Blood  ·  03.09.2026  ·  PMID 42691013</w:t>
      </w:r>
    </w:p>
    <w:p>
      <w:r>
        <w:t>Narrative Übersichtsarbeit zu ctDNA-Einsatz im diffusen großzelligen B-Zell-Lymphom mit Fokus auf technische Herausforderungen, Assay-Design und klinische Implementierung.</w:t>
      </w:r>
    </w:p>
    <w:p>
      <w:r>
        <w:rPr>
          <w:b/>
        </w:rPr>
        <w:t xml:space="preserve">Ergebnis: </w:t>
      </w:r>
      <w:r>
        <w:t>Tumor-informierte Assays mit mehreren genetischen Markern verbessern Sensitivität des Monitoring substanziell; Standardisierung und prospektive Validierung sind notwendig für Routineimplementierung; niedrige ctDNA-Häufigkeit und Unterscheidung von niedrigen Allel-Fraktionen bleiben Hauptprobleme.</w:t>
      </w:r>
    </w:p>
    <w:p>
      <w:r>
        <w:rPr>
          <w:b/>
          <w:sz w:val="19"/>
        </w:rPr>
        <w:t xml:space="preserve">Übertragbarkeit: </w:t>
      </w:r>
      <w:r>
        <w:rPr>
          <w:sz w:val="19"/>
        </w:rPr>
        <w:t>Technisches Review ohne spezifische Zahlen, eher Empfehlungscharakter; europäische Kontributoren.</w:t>
      </w:r>
    </w:p>
    <w:p>
      <w:r>
        <w:rPr>
          <w:color w:val="5A7D3A"/>
          <w:sz w:val="18"/>
        </w:rPr>
        <w:t>https://pubmed.ncbi.nlm.nih.gov/42691013/</w:t>
      </w:r>
    </w:p>
    <w:p>
      <w:pPr>
        <w:pStyle w:val="Heading2"/>
      </w:pPr>
      <w:r>
        <w:t>Tumor-Protein ADAMTSL4 treibt Kachexie durch TGFβ-Aktivierung – therapeutisches Ziel identifiziert</w:t>
      </w:r>
    </w:p>
    <w:p>
      <w:r>
        <w:rPr>
          <w:i/>
          <w:color w:val="666666"/>
          <w:sz w:val="18"/>
        </w:rPr>
        <w:t>Machado J et al.  ·  Cancer Discov  ·  01.09.2026  ·  PMID 42678278</w:t>
      </w:r>
    </w:p>
    <w:p>
      <w:r>
        <w:t>Mechanistische Studie in Modellen und Patienten mit kolorektalem und Lungenkarzinom zur Rolle von Tumor-Sekretion von ADAMTSL4 in der Pathogenese von Krebs-Kachexie.</w:t>
      </w:r>
    </w:p>
    <w:p>
      <w:r>
        <w:rPr>
          <w:b/>
        </w:rPr>
        <w:t xml:space="preserve">Ergebnis: </w:t>
      </w:r>
      <w:r>
        <w:t>ADAMTSL4-Überexpression machte nicht-kachektische Tumoren zu kachektischen; ADAMTSL4-Knockout reduzierte Muskelatrophie-Signaturen und Kachexie-Schweregrad; erhöhte zirkulierende ADAMTSL4-Level waren mit TGFβ-getriebener Muskelatrophie in Kachexie-Patienten assoziiert; ADAMTSL4-Blockade könnte selektive Therapie ohne systemische TGFβ-Blockade ermöglichen.</w:t>
      </w:r>
    </w:p>
    <w:p>
      <w:r>
        <w:rPr>
          <w:b/>
          <w:sz w:val="19"/>
        </w:rPr>
        <w:t xml:space="preserve">Übertragbarkeit: </w:t>
      </w:r>
      <w:r>
        <w:rPr>
          <w:sz w:val="19"/>
        </w:rPr>
        <w:t>USA-Studie mit deutschen und internationalen Zentren; präklinisches Modell mit klinischer Validierung – Weg zur Therapeutik erkennbar.</w:t>
      </w:r>
    </w:p>
    <w:p>
      <w:r>
        <w:rPr>
          <w:color w:val="5A7D3A"/>
          <w:sz w:val="18"/>
        </w:rPr>
        <w:t>https://pubmed.ncbi.nlm.nih.gov/42678278/</w:t>
      </w:r>
    </w:p>
    <w:p>
      <w:pPr>
        <w:pStyle w:val="Heading2"/>
      </w:pPr>
      <w:r>
        <w:t>Durvalumab perioperativ bei resektablem NSCLC: AEGEAN-Phase-III-Studie verbessert ereignisfreies Überleben</w:t>
      </w:r>
    </w:p>
    <w:p>
      <w:r>
        <w:rPr>
          <w:i/>
          <w:color w:val="666666"/>
          <w:sz w:val="18"/>
        </w:rPr>
        <w:t>Heymach JV et al.  ·  J Clin Oncol  ·  28.08.2026  ·  PMID 42664473</w:t>
      </w:r>
    </w:p>
    <w:p>
      <w:r>
        <w:t>Phase-III-Studie mit 740 Patienten zu neoadjuvanter Chemotherapie plus Durvalumab oder Placebo vor Operation und anschließender adjuvanter Durvalumab/Placebo-Therapie beim resektablen NSCLC Stadium II-IIIB.</w:t>
      </w:r>
    </w:p>
    <w:p>
      <w:r>
        <w:rPr>
          <w:b/>
        </w:rPr>
        <w:t xml:space="preserve">Ergebnis: </w:t>
      </w:r>
      <w:r>
        <w:t>Durvalumab reduzierte ereignisfreies Überleben (HR 0,69; 95%-KI 0,55–0,88), Zahlentrend für progressionsfreies Überleben (HR 0,66) und Gesamtüberleben (HR 0,89); Grad-3/4-Nebenwirkungen unter adjuvanter Therapie: 15,4 % vs. 10,6 % Placebo; Sicherheitsprofil konsistent mit Einzelsubstanzen.</w:t>
      </w:r>
    </w:p>
    <w:p>
      <w:r>
        <w:rPr>
          <w:b/>
          <w:sz w:val="19"/>
        </w:rPr>
        <w:t xml:space="preserve">Übertragbarkeit: </w:t>
      </w:r>
      <w:r>
        <w:rPr>
          <w:sz w:val="19"/>
        </w:rPr>
        <w:t>Internationale Phase-III-Studie mit europäischen Zentren; praxisverändernd bei AMNOG und Zulassung.</w:t>
      </w:r>
    </w:p>
    <w:p>
      <w:r>
        <w:rPr>
          <w:color w:val="5A7D3A"/>
          <w:sz w:val="18"/>
        </w:rPr>
        <w:t>https://pubmed.ncbi.nlm.nih.gov/42664473/</w:t>
      </w:r>
    </w:p>
    <w:p>
      <w:pPr>
        <w:pStyle w:val="Heading2"/>
      </w:pPr>
      <w:r>
        <w:t>Dynamisches Prognose-Modell CIRI2-CLL für Rezidivrisiko nach limitierter Therapie verbessert Vorhersage um bis zu 37 %</w:t>
      </w:r>
    </w:p>
    <w:p>
      <w:r>
        <w:rPr>
          <w:i/>
          <w:color w:val="666666"/>
          <w:sz w:val="18"/>
        </w:rPr>
        <w:t>Al-Sawaf O et al.  ·  J Clin Oncol  ·  27.08.2026  ·  PMID 42659576</w:t>
      </w:r>
    </w:p>
    <w:p>
      <w:r>
        <w:t>Validierungsstudie eines verfeinerten kontinuierlichen Risikoindex (CIRI2-CLL) zur Prognosebestimmung nach limitierter Behandlung der chronischen lymphatischen Leukämie mit Minimal-Residual-Disease-Status.</w:t>
      </w:r>
    </w:p>
    <w:p>
      <w:r>
        <w:rPr>
          <w:b/>
        </w:rPr>
        <w:t xml:space="preserve">Ergebnis: </w:t>
      </w:r>
      <w:r>
        <w:t>CIRI2-CLL zeigte gute Kalibrierung (ca. 5 % Differenz zwischen beobachteter und vorhergesagter Ereigniswahrscheinlichkeit); C-Statistik 0,82–0,98 an allen Zeitpunkten; 14–37 % Verbesserung der PFS-Vorhersage gegenüber MRD und CLL-IPI; 3-Jahres-PFS: 100,0 % (niedrig), 70,2 % (mittel), 10,8 % (hoch); Modell frei verfügbar auf Stanford-Plattform für individualisierte Therapieentscheidung.</w:t>
      </w:r>
    </w:p>
    <w:p>
      <w:r>
        <w:rPr>
          <w:b/>
          <w:sz w:val="19"/>
        </w:rPr>
        <w:t xml:space="preserve">Übertragbarkeit: </w:t>
      </w:r>
      <w:r>
        <w:rPr>
          <w:sz w:val="19"/>
        </w:rPr>
        <w:t>Deutsche CLL-Studiengruppe führend; validiert in europäischen und internationalen Kohorten.</w:t>
      </w:r>
    </w:p>
    <w:p>
      <w:r>
        <w:rPr>
          <w:color w:val="5A7D3A"/>
          <w:sz w:val="18"/>
        </w:rPr>
        <w:t>https://pubmed.ncbi.nlm.nih.gov/42659576/</w:t>
      </w:r>
    </w:p>
    <w:p>
      <w:pPr>
        <w:pStyle w:val="Heading1"/>
      </w:pPr>
      <w:r>
        <w:t>Aufgenommen am 12.09.2026</w:t>
      </w:r>
    </w:p>
    <w:p>
      <w:pPr>
        <w:pStyle w:val="Heading2"/>
      </w:pPr>
      <w:r>
        <w:t>PRO-Symptommonitoring bei Lungenkrebspatienten verlängert Gesamtüberleben um 5 Monate</w:t>
      </w:r>
    </w:p>
    <w:p>
      <w:r>
        <w:rPr>
          <w:i/>
          <w:color w:val="666666"/>
          <w:sz w:val="18"/>
        </w:rPr>
        <w:t>Hassing MJ et al.  ·  Lancet Oncol  ·  11.09.2026  ·  PMID 42727592</w:t>
      </w:r>
    </w:p>
    <w:p>
      <w:r>
        <w:t>Randomisierte niederländische Studie (14 medizinische Zentren, Stepped-Wedge-Design) zur Wirkung wöchentlicher Online-Symptomselbstberichte auf Überleben bei Patienten mit Lung Cancer im Stadium I-IV unter Behandlung.</w:t>
      </w:r>
    </w:p>
    <w:p>
      <w:r>
        <w:rPr>
          <w:b/>
        </w:rPr>
        <w:t xml:space="preserve">Ergebnis: </w:t>
      </w:r>
      <w:r>
        <w:t>Bei 446 Patienten (median 50 Monate Follow-up): Median Overall Survival in der Intervention 26 Monate versus Kontrolle 21 Monate (Hazard Ratio 0,80; 95%-CI 0,63–1,00; p=0,049). Progression-Free Survival zeigte keinen signifikanten Unterschied (HR 0,86; p=0,18). Praxisrelevant: strukturierte Patient-Reported Outcomes ermöglichen 5-Monate-Gewinn bei aktuellen Therapien.</w:t>
      </w:r>
    </w:p>
    <w:p>
      <w:r>
        <w:rPr>
          <w:b/>
          <w:sz w:val="19"/>
        </w:rPr>
        <w:t xml:space="preserve">Übertragbarkeit: </w:t>
      </w:r>
      <w:r>
        <w:rPr>
          <w:sz w:val="19"/>
        </w:rPr>
        <w:t>Niederländische Klinikdaten mit Versorgungsauftrag ähnlich Deutschland</w:t>
      </w:r>
    </w:p>
    <w:p>
      <w:r>
        <w:rPr>
          <w:color w:val="5A7D3A"/>
          <w:sz w:val="18"/>
        </w:rPr>
        <w:t>https://pubmed.ncbi.nlm.nih.gov/42727592/</w:t>
      </w:r>
    </w:p>
    <w:p>
      <w:pPr>
        <w:pStyle w:val="Heading2"/>
      </w:pPr>
      <w:r>
        <w:t>Trastuzumab Botidotin gegenüber Trastuzumab Emtansine: 11,1 vs. 4,4 Monate progressionsfreies Überleben</w:t>
      </w:r>
    </w:p>
    <w:p>
      <w:r>
        <w:rPr>
          <w:i/>
          <w:color w:val="666666"/>
          <w:sz w:val="18"/>
        </w:rPr>
        <w:t>Zhang J et al.  ·  J Clin Oncol  ·  11.09.2026  ·  PMID 42727044</w:t>
      </w:r>
    </w:p>
    <w:p>
      <w:r>
        <w:t>Phase-III-Studie (365 Patienten, China, 57 Zentren) mit randomisierter Direktvergleich zweier HER2-gerichteter Antikörper-Wirkstoff-Konjugate bei vorbehandeltem HER2-positivem metastasiertem Brustkrebs.</w:t>
      </w:r>
    </w:p>
    <w:p>
      <w:r>
        <w:rPr>
          <w:b/>
        </w:rPr>
        <w:t xml:space="preserve">Ergebnis: </w:t>
      </w:r>
      <w:r>
        <w:t>Trastuzumab Botidotin vs. Trastuzumab Emtansine: medianes Progression-Free Survival 11,1 vs. 4,4 Monate (HR 0,39; p&lt;0,0001); Objective Response Rate 76,9% vs. 53,0%. Grade ≥3 unerwünschte Ereignisse 69,8% vs. 63,7%, höchste Inzidenz bei Augenoberflächen-Toxizität (47,7%), aber meist reversibel.</w:t>
      </w:r>
    </w:p>
    <w:p>
      <w:r>
        <w:rPr>
          <w:b/>
          <w:sz w:val="19"/>
        </w:rPr>
        <w:t xml:space="preserve">Übertragbarkeit: </w:t>
      </w:r>
      <w:r>
        <w:rPr>
          <w:sz w:val="19"/>
        </w:rPr>
        <w:t>China-Studie, Botidotin hat EU-Zulassung; Übertragbarkeit für deutsche Zentren gegeben</w:t>
      </w:r>
    </w:p>
    <w:p>
      <w:r>
        <w:rPr>
          <w:color w:val="5A7D3A"/>
          <w:sz w:val="18"/>
        </w:rPr>
        <w:t>https://pubmed.ncbi.nlm.nih.gov/42727044/</w:t>
      </w:r>
    </w:p>
    <w:p>
      <w:pPr>
        <w:pStyle w:val="Heading2"/>
      </w:pPr>
      <w:r>
        <w:t>Lokale Therapie + Immune Checkpoint Inhibitor bei rezidiviertem/metastasiertem Nasopharynxkarzinom: 30,5 vs. 16,8 Monate PFS</w:t>
      </w:r>
    </w:p>
    <w:p>
      <w:r>
        <w:rPr>
          <w:i/>
          <w:color w:val="666666"/>
          <w:sz w:val="18"/>
        </w:rPr>
        <w:t>Chen X et al.  ·  Eur J Cancer  ·  27.08.2026  ·  PMID 42721861</w:t>
      </w:r>
    </w:p>
    <w:p>
      <w:r>
        <w:t>Retrospektive chinesische Studie (223 Patienten, Fudan University Shanghai) zum Vergleich von ICI allein versus lokale Therapie kombiniert mit ICI (LOCI) bei rezidiviertem oder metastasiertem Nasopharynxkarzinom; IPTW und Propensity-Score-Matching zur Confounding-Kontrolle.</w:t>
      </w:r>
    </w:p>
    <w:p>
      <w:r>
        <w:rPr>
          <w:b/>
        </w:rPr>
        <w:t xml:space="preserve">Ergebnis: </w:t>
      </w:r>
      <w:r>
        <w:t>Median Progression-Free Survival mit LOCI 30,53 Monate vs. ICI allein 16,77 Monate (HR 0,524; 95%-CI 0,339–0,785; log-rank p=0,0014). Benefit nach PSM und IPTW-Adjustment bestätigt. Bei lokalem Rezidiv oder Nodusbefall (LRR-NPC): verbessertes Distant-Metastasis-Free-Survival (HR 0,437). Bei Oligometastasen (≤3 Läsionen) ebenfalls PFS-Vorteil (HR 0,458; p=0,0416).</w:t>
      </w:r>
    </w:p>
    <w:p>
      <w:r>
        <w:rPr>
          <w:b/>
          <w:sz w:val="19"/>
        </w:rPr>
        <w:t xml:space="preserve">Übertragbarkeit: </w:t>
      </w:r>
      <w:r>
        <w:rPr>
          <w:sz w:val="19"/>
        </w:rPr>
        <w:t>China, Strahlentherapie mit ICI-Standard auch europäisch; Real-World-Ansatz übertragbar</w:t>
      </w:r>
    </w:p>
    <w:p>
      <w:r>
        <w:rPr>
          <w:color w:val="5A7D3A"/>
          <w:sz w:val="18"/>
        </w:rPr>
        <w:t>https://pubmed.ncbi.nlm.nih.gov/42721861/</w:t>
      </w:r>
    </w:p>
    <w:p>
      <w:pPr>
        <w:pStyle w:val="Heading2"/>
      </w:pPr>
      <w:r>
        <w:t>EORTC QLQ-CHI: erste Lebensqualitätsskala speziell für Kinder mit Krebs (8–14 Jahre)</w:t>
      </w:r>
    </w:p>
    <w:p>
      <w:r>
        <w:rPr>
          <w:i/>
          <w:color w:val="666666"/>
          <w:sz w:val="18"/>
        </w:rPr>
        <w:t>Vetrano C et al.  ·  Eur J Cancer  ·  05.10.2026  ·  PMID 42685381</w:t>
      </w:r>
    </w:p>
    <w:p>
      <w:r>
        <w:t>Mixed-Methods-Studie (Phasen I/II) zur Entwicklung eines EORTC-Fragebogenmoduls; 47 Kinder, 45 Eltern, 22 Fachleute aus 6 Ländern; Leitlinien der EORTC Quality-of-Life Group.</w:t>
      </w:r>
    </w:p>
    <w:p>
      <w:r>
        <w:rPr>
          <w:b/>
        </w:rPr>
        <w:t xml:space="preserve">Ergebnis: </w:t>
      </w:r>
      <w:r>
        <w:t>57 Schlüsselprobleme identifiziert aus 1.200+ initial bewerteten Aspekten (Vergleich Kinder-, Eltern- und Fachperspektive). Kinder präferierten 4 Antwortoptionen (70,0%) und kürzere Recall-Periode (43,3%). Fragebogen mit 50 Items in zwei Skalenbereiche eingeteilt: symptomorientiert und psychosozial. Nächste Schritte: Pilottestung (Phase III/IV), Validierung.</w:t>
      </w:r>
    </w:p>
    <w:p>
      <w:r>
        <w:rPr>
          <w:b/>
          <w:sz w:val="19"/>
        </w:rPr>
        <w:t xml:space="preserve">Übertragbarkeit: </w:t>
      </w:r>
      <w:r>
        <w:rPr>
          <w:sz w:val="19"/>
        </w:rPr>
        <w:t>Europäisches Netzwerk (EORTC), Grundlage für standardisierte Erfassung in Zentren</w:t>
      </w:r>
    </w:p>
    <w:p>
      <w:r>
        <w:rPr>
          <w:color w:val="5A7D3A"/>
          <w:sz w:val="18"/>
        </w:rPr>
        <w:t>https://pubmed.ncbi.nlm.nih.gov/42685381/</w:t>
      </w:r>
    </w:p>
    <w:p>
      <w:pPr>
        <w:pStyle w:val="Heading2"/>
      </w:pPr>
      <w:r>
        <w:t>Tislelizumab + Chemotherapie bei Ösophaguskarzinom: 45-Monate-Überleben</w:t>
      </w:r>
    </w:p>
    <w:p>
      <w:r>
        <w:rPr>
          <w:i/>
          <w:color w:val="666666"/>
          <w:sz w:val="18"/>
        </w:rPr>
        <w:t>Tougeron D et al.  ·  ESMO Open  ·  27.08.2026  ·  PMID 42659894</w:t>
      </w:r>
    </w:p>
    <w:p>
      <w:r>
        <w:t>Randomisierte Phase-III-Studie (RATIONALE-306) mit 649 Patienten weltweit; Analyse der Subgruppe mit PD-L1 Tumor Area Positivity ≥5% im Langzeit-Follow-up.</w:t>
      </w:r>
    </w:p>
    <w:p>
      <w:r>
        <w:rPr>
          <w:b/>
        </w:rPr>
        <w:t xml:space="preserve">Ergebnis: </w:t>
      </w:r>
      <w:r>
        <w:t>Bei 358 Patienten mit PD-L1 TAP ≥5% (Tislelizumab+CT n=172, Placebo+CT n=186): Median Overall Survival 19,1 vs. 10,0 Monate (HR 0,61); Progression-Free Survival 8,2 vs. 5,5 Monate (HR 0,50); Objektive Ansprechrate 71,5% vs. 41,4%. Haltbarkeit über 45 Monate bestätigt; Sicherheitsprofil unverändert.</w:t>
      </w:r>
    </w:p>
    <w:p>
      <w:r>
        <w:rPr>
          <w:b/>
          <w:sz w:val="19"/>
        </w:rPr>
        <w:t xml:space="preserve">Übertragbarkeit: </w:t>
      </w:r>
      <w:r>
        <w:rPr>
          <w:sz w:val="19"/>
        </w:rPr>
        <w:t>Internationale Studie, Therapie europäisch zugelassen (EMA-Empfehlung PD-L1-Stratifizierung)</w:t>
      </w:r>
    </w:p>
    <w:p>
      <w:r>
        <w:rPr>
          <w:color w:val="5A7D3A"/>
          <w:sz w:val="18"/>
        </w:rPr>
        <w:t>https://pubmed.ncbi.nlm.nih.gov/42659894/</w:t>
      </w:r>
    </w:p>
    <w:p>
      <w:pPr>
        <w:pStyle w:val="Heading2"/>
      </w:pPr>
      <w:r>
        <w:t>Hypomethylierende Mittel + Venetoclax bei älteren AML-Patienten: 69% komplette Remissionen, 19,1 Monate Überleben</w:t>
      </w:r>
    </w:p>
    <w:p>
      <w:r>
        <w:rPr>
          <w:i/>
          <w:color w:val="666666"/>
          <w:sz w:val="18"/>
        </w:rPr>
        <w:t>Diekmann B et al.  ·  Eur J Cancer  ·  05.10.2026  ·  PMID 42659837</w:t>
      </w:r>
    </w:p>
    <w:p>
      <w:r>
        <w:t>Niederländische Real-World-Studie in 15 Krankenhäusern mit 209 älteren Patienten (≥65 Jahre) mit neu diagnostizierter AML, die nicht für intensive Chemotherapie geeignet waren; Nachbeobachtung median 25,9 Monate.</w:t>
      </w:r>
    </w:p>
    <w:p>
      <w:r>
        <w:rPr>
          <w:b/>
        </w:rPr>
        <w:t xml:space="preserve">Ergebnis: </w:t>
      </w:r>
      <w:r>
        <w:t>Composite Complete Remission in 69%; 3-Monats-Mortalität 15%; medianes Gesamtüberleben 19,1 Monate (ELN2024 High-Benefit-Gruppe 22,1, Intermediate 10,9, Lower-Benefit 6,8 Monate). Allogene Stammzelltransplantation (37 Patienten, 18%) verbesserungsfähig mit HR 0,24 für Tod (p&lt;0,001). Antifungale Agenten in 72% der ersten Zyklen assoziiert mit reduzierter Mortalität (HR 0,605; p=0,010).</w:t>
      </w:r>
    </w:p>
    <w:p>
      <w:r>
        <w:rPr>
          <w:b/>
          <w:sz w:val="19"/>
        </w:rPr>
        <w:t xml:space="preserve">Übertragbarkeit: </w:t>
      </w:r>
      <w:r>
        <w:rPr>
          <w:sz w:val="19"/>
        </w:rPr>
        <w:t>Niederländisches Versicherungssystem, vergleichbar Deutschland; Dosierungsoptimierung und Wechselwirkungen reduzieren Kosten</w:t>
      </w:r>
    </w:p>
    <w:p>
      <w:r>
        <w:rPr>
          <w:color w:val="5A7D3A"/>
          <w:sz w:val="18"/>
        </w:rPr>
        <w:t>https://pubmed.ncbi.nlm.nih.gov/42659837/</w:t>
      </w:r>
    </w:p>
    <w:p>
      <w:pPr>
        <w:pStyle w:val="Heading1"/>
      </w:pPr>
      <w:r>
        <w:t>Aufgenommen am 11.09.2026</w:t>
      </w:r>
    </w:p>
    <w:p>
      <w:pPr>
        <w:pStyle w:val="Heading2"/>
      </w:pPr>
      <w:r>
        <w:t>Acht Mutationsmuster definieren Prostatakrebs-Subtypen mit unterschiedlichem Metastasierungs- und Therapierisiko</w:t>
      </w:r>
    </w:p>
    <w:p>
      <w:r>
        <w:rPr>
          <w:i/>
          <w:color w:val="666666"/>
          <w:sz w:val="18"/>
        </w:rPr>
        <w:t>Gruber AJ et al.  ·  Nature  ·  09.09.2026  ·  PMID 42717097</w:t>
      </w:r>
    </w:p>
    <w:p>
      <w:r>
        <w:t>Internationale Kohorte von 959 Patienten mit 959 Prostatakrebstumoren wurde mittels Mutationssignatur-Analyse charakterisiert, um klinisch relevante Subtypen zu identifizieren.</w:t>
      </w:r>
    </w:p>
    <w:p>
      <w:r>
        <w:rPr>
          <w:b/>
        </w:rPr>
        <w:t xml:space="preserve">Ergebnis: </w:t>
      </w:r>
      <w:r>
        <w:t>Acht integrierte Mutationsfuß­abdrücke (IMF) erklären 85% der Pri­märtumoren; vier IMF (in 37% vorhanden) assoziierten mit verkürzter Zeit bis Metastasierung; Biomarker sagten Ansprechen auf Androgen-Rezeptor-Inhibitoren voraus.</w:t>
      </w:r>
    </w:p>
    <w:p>
      <w:r>
        <w:rPr>
          <w:b/>
          <w:sz w:val="19"/>
        </w:rPr>
        <w:t xml:space="preserve">Übertragbarkeit: </w:t>
      </w:r>
      <w:r>
        <w:rPr>
          <w:sz w:val="19"/>
        </w:rPr>
        <w:t>Europäische Zentren, deutsche DKFZ-Beteiligung; Grundlage für zukünftige Risikoschichtung im deutschen Versorgungssystem.</w:t>
      </w:r>
    </w:p>
    <w:p>
      <w:r>
        <w:rPr>
          <w:color w:val="5A7D3A"/>
          <w:sz w:val="18"/>
        </w:rPr>
        <w:t>https://pubmed.ncbi.nlm.nih.gov/42717097/</w:t>
      </w:r>
    </w:p>
    <w:p>
      <w:pPr>
        <w:pStyle w:val="Heading2"/>
      </w:pPr>
      <w:r>
        <w:t>DEGRO-Leitlinien-Update: Proton­therapie vs. Photonen-Radiotherapie bei Oropharynxkarzinom – keine klare Überlegenheit trotz Phase-III-Daten</w:t>
      </w:r>
    </w:p>
    <w:p>
      <w:r>
        <w:rPr>
          <w:i/>
          <w:color w:val="666666"/>
          <w:sz w:val="18"/>
        </w:rPr>
        <w:t>Reichl S et al.  ·  Strahlenther Onkol  ·  07.09.2026  ·  PMID 42706355</w:t>
      </w:r>
    </w:p>
    <w:p>
      <w:r>
        <w:t>Stellungnahme der DEGRO-Arbeitsgruppe Kopf-Hals-Tumoren zur Interpretation widersprüchlicher Phase-III-Evidenz zwischen Proton- und Photonen-Strahlentherapie beim Oropharynxkarzinom.</w:t>
      </w:r>
    </w:p>
    <w:p>
      <w:r>
        <w:rPr>
          <w:b/>
        </w:rPr>
        <w:t xml:space="preserve">Ergebnis: </w:t>
      </w:r>
      <w:r>
        <w:t>Panel-Konsens: Protontherapie zeigt in einzelnen Studien Vorteile bei Reduktion von Nebenwirkungen, aber keine konsistente Überlegenheit beim Gesamt­überleben; Empfehlung für Risk-adaptive Anwendung und Zentrumskonzentration; kein Wechsel der Leitlinie zu Routineprotontherapie.</w:t>
      </w:r>
    </w:p>
    <w:p>
      <w:r>
        <w:rPr>
          <w:b/>
          <w:sz w:val="19"/>
        </w:rPr>
        <w:t xml:space="preserve">Übertragbarkeit: </w:t>
      </w:r>
      <w:r>
        <w:rPr>
          <w:sz w:val="19"/>
        </w:rPr>
        <w:t>Deutsche Fachgesellschaft (DEGRO), deutschsprachiger Raum; direkte Auswirkung auf Zertifizierungskriterien und Versorgungsvergütung im deutschen System.</w:t>
      </w:r>
    </w:p>
    <w:p>
      <w:r>
        <w:rPr>
          <w:color w:val="5A7D3A"/>
          <w:sz w:val="18"/>
        </w:rPr>
        <w:t>https://pubmed.ncbi.nlm.nih.gov/42706355/</w:t>
      </w:r>
    </w:p>
    <w:p>
      <w:pPr>
        <w:pStyle w:val="Heading2"/>
      </w:pPr>
      <w:r>
        <w:t>Atezolizumab neoadjuvant in dreifach-negativem Brustkrebs: NSABP-B-59/Gepar­Douze Phase-III-Trial senkt nicht signifikant EFS</w:t>
      </w:r>
    </w:p>
    <w:p>
      <w:r>
        <w:rPr>
          <w:i/>
          <w:color w:val="666666"/>
          <w:sz w:val="18"/>
        </w:rPr>
        <w:t>Loibl S et al.  ·  Nat Med  ·  01.09.2026  ·  PMID 42680950</w:t>
      </w:r>
    </w:p>
    <w:p>
      <w:r>
        <w:t>Randomisiert 1.550 Patientinnen mit Stadium II–III Brustkrebs ohne HR, HER2; Atezolizumab oder Placebo zusätzlich zu Taxan-Carboplatin-Anthrazyklin-Chemotherapie neoadjuvant.</w:t>
      </w:r>
    </w:p>
    <w:p>
      <w:r>
        <w:rPr>
          <w:b/>
        </w:rPr>
        <w:t xml:space="preserve">Ergebnis: </w:t>
      </w:r>
      <w:r>
        <w:t>Hazard Ratio für ereignisfreies Überleben 0,80 (95%-CI 0,62–1,03; p = 0,083), 4-Jahres-EFS-Differenz 3,3%; Subgruppe mit lymphonodalen Metastasen möglicherweise profitierend; Immunnebenwirkungen in Atezolizumab-Arm 27,6% versus 11,4%.</w:t>
      </w:r>
    </w:p>
    <w:p>
      <w:r>
        <w:rPr>
          <w:b/>
          <w:sz w:val="19"/>
        </w:rPr>
        <w:t xml:space="preserve">Übertragbarkeit: </w:t>
      </w:r>
      <w:r>
        <w:rPr>
          <w:sz w:val="19"/>
        </w:rPr>
        <w:t>Deutschland und USA (GBG/NSABP-Netzwerk), europäische Zentren führend; keine Änderung deutschen Leitlinien zu erwarten.</w:t>
      </w:r>
    </w:p>
    <w:p>
      <w:r>
        <w:rPr>
          <w:color w:val="5A7D3A"/>
          <w:sz w:val="18"/>
        </w:rPr>
        <w:t>https://pubmed.ncbi.nlm.nih.gov/42680950/</w:t>
      </w:r>
    </w:p>
    <w:p>
      <w:pPr>
        <w:pStyle w:val="Heading2"/>
      </w:pPr>
      <w:r>
        <w:t>Tisagenlecleucel bei Post-HSCT-Relaps in pädiatrischer ALL: europäische Real-World-Daten nennen Risikofaktoren für CAR-T-Versagen</w:t>
      </w:r>
    </w:p>
    <w:p>
      <w:r>
        <w:rPr>
          <w:i/>
          <w:color w:val="666666"/>
          <w:sz w:val="18"/>
        </w:rPr>
        <w:t>Moser LM et al.  ·  Leukemia  ·  31.08.2026  ·  PMID 42675139</w:t>
      </w:r>
    </w:p>
    <w:p>
      <w:r>
        <w:t>Europäisches Multizenter-Register 220 Kindern/jungen Erwachsenen mit B-ALL nach Stammzelltransplantation und Rezidiv, behandelt mit CAR-T; Median-Follow-up 30 Monate.</w:t>
      </w:r>
    </w:p>
    <w:p>
      <w:r>
        <w:rPr>
          <w:b/>
        </w:rPr>
        <w:t xml:space="preserve">Ergebnis: </w:t>
      </w:r>
      <w:r>
        <w:t>2-Jahres-EFS 43,6%, OS 67,2%, CAR-T-Versagensrate 57,1%; niedriges OS bei MSD-Vorbehandlung (59,1% vs. Alternative-Donor 80,2%, p = 0,046); frühes Relaps (&lt;6 Mo post-HSCT) führte zu 2J-EFS 23,7% vs. 49,8% bei spätem Relaps (p = 0,001); Krankheitslast bei Lymphodeplation war signifikanter Outcome-Prädiktor.</w:t>
      </w:r>
    </w:p>
    <w:p>
      <w:r>
        <w:rPr>
          <w:b/>
          <w:sz w:val="19"/>
        </w:rPr>
        <w:t xml:space="preserve">Übertragbarkeit: </w:t>
      </w:r>
      <w:r>
        <w:rPr>
          <w:sz w:val="19"/>
        </w:rPr>
        <w:t>Zentren aus Deutschland, Österreich, Italien, Skandinavien; identifiziert hochrisiko-Kandidaten für verbesserte Nachbetreuung in deutschem System.</w:t>
      </w:r>
    </w:p>
    <w:p>
      <w:r>
        <w:rPr>
          <w:color w:val="5A7D3A"/>
          <w:sz w:val="18"/>
        </w:rPr>
        <w:t>https://pubmed.ncbi.nlm.nih.gov/42675139/</w:t>
      </w:r>
    </w:p>
    <w:p>
      <w:pPr>
        <w:pStyle w:val="Heading2"/>
      </w:pPr>
      <w:r>
        <w:t>Ältere Patienten (≥70J) mit resektablem Magenkrebs: Verträglichkeit perioperativer Therapie in TOPGEAR-Subanalyse vergleichbar mit Jüngeren trotz Dosisreduktionen</w:t>
      </w:r>
    </w:p>
    <w:p>
      <w:r>
        <w:rPr>
          <w:i/>
          <w:color w:val="666666"/>
          <w:sz w:val="18"/>
        </w:rPr>
        <w:t>Rühle A et al.  ·  Eur J Cancer  ·  05.10.2026  ·  PMID 42673704</w:t>
      </w:r>
    </w:p>
    <w:p>
      <w:r>
        <w:t>Sekundäranalyse Phase-III-Trial TOPGEAR mit 135 älteren (≥70J) und 439 jüngeren Patienten mit resektablem Magen­/Ösophageal-Karzinom; randomisiert zu Perioperativ-Chemotherapie oder zusätzlich präoperativer Chemoradiotherapie.</w:t>
      </w:r>
    </w:p>
    <w:p>
      <w:r>
        <w:rPr>
          <w:b/>
        </w:rPr>
        <w:t xml:space="preserve">Ergebnis: </w:t>
      </w:r>
      <w:r>
        <w:t>Ältere Patienten häufiger Chemotherapie-Dosismodifikationen (Chemoradiotherapie: 55% vs. 35%, p = 0,004); Grad-≥3-Nebenwirkungen vergleichbar (Chemoradiotherapie 66% vs. 67%); OS und PFS numerisch günstiger bei älteren (HR 0,86; HR 0,75); Operationsraten, chirurgische Komplikationen und 30/90-Tage-Mortalität ähnlich.</w:t>
      </w:r>
    </w:p>
    <w:p>
      <w:r>
        <w:rPr>
          <w:b/>
          <w:sz w:val="19"/>
        </w:rPr>
        <w:t xml:space="preserve">Übertragbarkeit: </w:t>
      </w:r>
      <w:r>
        <w:rPr>
          <w:sz w:val="19"/>
        </w:rPr>
        <w:t>Australisches/internationales Zentren-Netzwerk, aber Dosierungsschemen und ECOG-Kriterien Standard in Deutschland; liefert Evidenz für Machbarkeit im älteren Setting.</w:t>
      </w:r>
    </w:p>
    <w:p>
      <w:r>
        <w:rPr>
          <w:color w:val="5A7D3A"/>
          <w:sz w:val="18"/>
        </w:rPr>
        <w:t>https://pubmed.ncbi.nlm.nih.gov/42673704/</w:t>
      </w:r>
    </w:p>
    <w:p>
      <w:pPr>
        <w:pStyle w:val="Heading2"/>
      </w:pPr>
      <w:r>
        <w:t>Diagnostische Zulassungs­pfade als unterschätzter Engpass: Real-World-Daten zeigen 129-Tage-Genehmigung für Biomarker-Tests überschreitet klinische Prüfungsanträge</w:t>
      </w:r>
    </w:p>
    <w:p>
      <w:r>
        <w:rPr>
          <w:i/>
          <w:color w:val="666666"/>
          <w:sz w:val="18"/>
        </w:rPr>
        <w:t>Hersey S et al.  ·  Eur J Cancer  ·  05.10.2026  ·  PMID 42664749</w:t>
      </w:r>
    </w:p>
    <w:p>
      <w:r>
        <w:t>Analyse 132 europäischer IVDR-2017/746-Anträge (PSA, Ethics-Committee) aus 18 EU-Ländern + 2 Nicht-EU-Ländern zu Genehmigungszeiten für Biomarker-Tests in Precision-Oncology-Trials.</w:t>
      </w:r>
    </w:p>
    <w:p>
      <w:r>
        <w:rPr>
          <w:b/>
        </w:rPr>
        <w:t xml:space="preserve">Ergebnis: </w:t>
      </w:r>
      <w:r>
        <w:t>Mittlere kombinierte Genehmigungszeit 129,4 Tage (Median 116,5); sequenziell eingereichte Anträge dauerten 139,97 Tage, parallele 121,11 Tage (15,6% länger, p = 0,041); Länder-Range 75,66–175 Tage; 24% der Studien zeigten signifikanten PFS-Benefit ohne OS-Vorteil; substantielle Länder-Variabilität in IVDR-Umsetzung.</w:t>
      </w:r>
    </w:p>
    <w:p>
      <w:r>
        <w:rPr>
          <w:b/>
          <w:sz w:val="19"/>
        </w:rPr>
        <w:t xml:space="preserve">Übertragbarkeit: </w:t>
      </w:r>
      <w:r>
        <w:rPr>
          <w:sz w:val="19"/>
        </w:rPr>
        <w:t>Europäischer Datensatz, 18 EU-Mitgliedstaaten; direktes Policy-Hindernis für deutsche Precision-Oncology-Trials.</w:t>
      </w:r>
    </w:p>
    <w:p>
      <w:r>
        <w:rPr>
          <w:color w:val="5A7D3A"/>
          <w:sz w:val="18"/>
        </w:rPr>
        <w:t>https://pubmed.ncbi.nlm.nih.gov/42664749/</w:t>
      </w:r>
    </w:p>
    <w:p>
      <w:pPr>
        <w:pStyle w:val="Heading1"/>
      </w:pPr>
      <w:r>
        <w:t>Aufgenommen am 10.09.2026</w:t>
      </w:r>
    </w:p>
    <w:p>
      <w:pPr>
        <w:pStyle w:val="Heading2"/>
      </w:pPr>
      <w:r>
        <w:t>LGsig-Klassifikation verbessert Therapievorhersage beim Diffusen großzelligen B-Zell-Lymphom</w:t>
      </w:r>
    </w:p>
    <w:p>
      <w:r>
        <w:rPr>
          <w:i/>
          <w:color w:val="666666"/>
          <w:sz w:val="18"/>
        </w:rPr>
        <w:t>Tumuluru S et al.  ·  J Clin Oncol  ·  09.09.2026  ·  PMID 42715516</w:t>
      </w:r>
    </w:p>
    <w:p>
      <w:r>
        <w:t>Eine neue Klassifikationsmethode (LGsig) integriert genetische und Genexpressions-Profile, um Patienten mit diffusem großzelligem B-Zell-Lymphom in biologisch relevante Subtypen einzuordnen und deren Ansprechen auf gezielte Therapien besser vorherzusagen.</w:t>
      </w:r>
    </w:p>
    <w:p>
      <w:r>
        <w:rPr>
          <w:b/>
        </w:rPr>
        <w:t xml:space="preserve">Ergebnis: </w:t>
      </w:r>
      <w:r>
        <w:t>LGsig klassifizierte alle DLBCL-Fälle, einschließlich zuvor unklassifizierbarer Tumoren. In der POLARIX-Studie zeigte sich ein signifikanter Überlebensvorteil für Patienten mit bestimmten LGsig-Subtypen unter Polatuzumab vedotin-R-CHP versus R-CHOP in sowohl genetisch klassifizierten als auch unklassifizierten Fällen.</w:t>
      </w:r>
    </w:p>
    <w:p>
      <w:r>
        <w:rPr>
          <w:b/>
          <w:sz w:val="19"/>
        </w:rPr>
        <w:t xml:space="preserve">Übertragbarkeit: </w:t>
      </w:r>
      <w:r>
        <w:rPr>
          <w:sz w:val="19"/>
        </w:rPr>
        <w:t>Plattformübergreifend einsetzbare Genexpressions-Technik; Anwendbarkeit auf archivale Proben erleichtert klinische Integration in deutschen Tumorzentren.</w:t>
      </w:r>
    </w:p>
    <w:p>
      <w:r>
        <w:rPr>
          <w:color w:val="5A7D3A"/>
          <w:sz w:val="18"/>
        </w:rPr>
        <w:t>https://pubmed.ncbi.nlm.nih.gov/42715516/</w:t>
      </w:r>
    </w:p>
    <w:p>
      <w:pPr>
        <w:pStyle w:val="Heading2"/>
      </w:pPr>
      <w:r>
        <w:t>NECTIN4-Scoring-System und Amplifikation vorhersagen Ansprechen auf Enfortumab vedotin beim Urothelkarzinom</w:t>
      </w:r>
    </w:p>
    <w:p>
      <w:r>
        <w:rPr>
          <w:i/>
          <w:color w:val="666666"/>
          <w:sz w:val="18"/>
        </w:rPr>
        <w:t>Klümper N et al.  ·  Clin Cancer Res  ·  09.09.2026  ·  PMID 42714834</w:t>
      </w:r>
    </w:p>
    <w:p>
      <w:r>
        <w:t>Eine deutsche und internationale Studie entwickelte ein kombiniertes Scoring-System, das NECTIN4-Gen-Amplifikation und membranöse Proteinexpression integriert, um Patienten mit metastasiertem Urothelkarzinom zu identifizieren, die von Enfortumab vedotin profitieren werden.</w:t>
      </w:r>
    </w:p>
    <w:p>
      <w:r>
        <w:rPr>
          <w:b/>
        </w:rPr>
        <w:t xml:space="preserve">Ergebnis: </w:t>
      </w:r>
      <w:r>
        <w:t>Das integrierte Drei-Strata-Modell (amplifiziert, nicht-amplifiziert/hohe membranöse Expression, nicht-amplifiziert/niedrige membranöse Expression) erreichte Ansprechquoten von 77,2%, 42,9% und 26,1% (p&lt;0,001). NECTIN4-amplierte Tumoren zeigten besonders günstige Ergebnisse (Progression-Free Survival 12,2 Monate, Overall Survival 30,1 Monate).</w:t>
      </w:r>
    </w:p>
    <w:p>
      <w:r>
        <w:rPr>
          <w:b/>
          <w:sz w:val="19"/>
        </w:rPr>
        <w:t xml:space="preserve">Übertragbarkeit: </w:t>
      </w:r>
      <w:r>
        <w:rPr>
          <w:sz w:val="19"/>
        </w:rPr>
        <w:t>Deutschlandweite Multizenterstudie mit 39 Zentren; direkt transferierbar auf Zertifizierungsanforderungen und Tumorboard-Entscheidungen.</w:t>
      </w:r>
    </w:p>
    <w:p>
      <w:r>
        <w:rPr>
          <w:color w:val="5A7D3A"/>
          <w:sz w:val="18"/>
        </w:rPr>
        <w:t>https://pubmed.ncbi.nlm.nih.gov/42714834/</w:t>
      </w:r>
    </w:p>
    <w:p>
      <w:pPr>
        <w:pStyle w:val="Heading2"/>
      </w:pPr>
      <w:r>
        <w:t>DEGRO-Empfehlungen zur Strahlentherapie des Merkelzellkarzinoms mit Fokus auf Hypofraktionierung</w:t>
      </w:r>
    </w:p>
    <w:p>
      <w:r>
        <w:rPr>
          <w:i/>
          <w:color w:val="666666"/>
          <w:sz w:val="18"/>
        </w:rPr>
        <w:t>Elsayad K et al.  ·  Strahlenther Onkol  ·  09.09.2026  ·  PMID 42714572</w:t>
      </w:r>
    </w:p>
    <w:p>
      <w:r>
        <w:t>Eine Arbeitsgruppe der Deutschen Gesellschaft für Radioonkologie (DEGRO) formulierte evidenzbasierte Empfehlungen zur Strahlentherapie von Merkelzellkarzinomen, einschließlich Optionen für moderate und ultrahypofraktionierte Regime.</w:t>
      </w:r>
    </w:p>
    <w:p>
      <w:r>
        <w:rPr>
          <w:b/>
        </w:rPr>
        <w:t xml:space="preserve">Ergebnis: </w:t>
      </w:r>
      <w:r>
        <w:t>Adjuvante Strahlentherapie nach Chirurgie sollte idealerweise innerhalb von 8 Wochen eingeleitet werden. Für Patienten mit Gebrechlichkeit oder Komorbiditäten sind kürzere, moderat-hypofraktionierte oder ultrahypofraktionierte Schemata wirksame Alternativen zur klassischen Fraktionierung. Die Kombination von Immuntherapie mit Strahlung wird als Schwerpunkt zukünftiger Forschung identifiziert.</w:t>
      </w:r>
    </w:p>
    <w:p>
      <w:r>
        <w:rPr>
          <w:b/>
          <w:sz w:val="19"/>
        </w:rPr>
        <w:t xml:space="preserve">Übertragbarkeit: </w:t>
      </w:r>
      <w:r>
        <w:rPr>
          <w:sz w:val="19"/>
        </w:rPr>
        <w:t>Deutsche Fachgesellschafts-Leitlinie; direkte Implementierbarkeit in Zertifizierungsprozesse und klinische Routine.</w:t>
      </w:r>
    </w:p>
    <w:p>
      <w:r>
        <w:rPr>
          <w:color w:val="5A7D3A"/>
          <w:sz w:val="18"/>
        </w:rPr>
        <w:t>https://pubmed.ncbi.nlm.nih.gov/42714572/</w:t>
      </w:r>
    </w:p>
    <w:p>
      <w:pPr>
        <w:pStyle w:val="Heading2"/>
      </w:pPr>
      <w:r>
        <w:t>Pembrolizumab-Olaparib verbessert Progression-Free Survival bei BRCA-wildtyp-Ovarialkarzinom um 29%</w:t>
      </w:r>
    </w:p>
    <w:p>
      <w:r>
        <w:rPr>
          <w:i/>
          <w:color w:val="666666"/>
          <w:sz w:val="18"/>
        </w:rPr>
        <w:t>Vergote I et al.  ·  Lancet Oncol  ·  07.09.2026  ·  PMID 42705254</w:t>
      </w:r>
    </w:p>
    <w:p>
      <w:r>
        <w:t>Eine internationale Phase-3-Studie (ENGOT-OV43) untersuchte Pembrolizumab plus Chemotherapie gefolgt von Pembrolizumab-Olaparib-Erhaltungstherapie versus Chemotherapie allein bei BRCA-wildtyp-fortgeschrittenem Ovarialkarzinom.</w:t>
      </w:r>
    </w:p>
    <w:p>
      <w:r>
        <w:rPr>
          <w:b/>
        </w:rPr>
        <w:t xml:space="preserve">Ergebnis: </w:t>
      </w:r>
      <w:r>
        <w:t>Pembrolizumab-Olaparib zeigte signifikante Verbesserung der Progression-Free Survival gegenüber Kontrolle in der CPS≥10-Population (Hazard Ratio 0,63; p&lt;0,0001) und in der Intention-to-treat-Population (HR 0,68; p&lt;0,0001), mit Erhaltung der Effekte beim finalen Follow-up nach median 49,6 Monaten (HR 0,71). Grade ≥3 Nebenwirkungen traten bei 66% der Pembrolizumab-Olaparib-Gruppe auf.</w:t>
      </w:r>
    </w:p>
    <w:p>
      <w:r>
        <w:rPr>
          <w:b/>
          <w:sz w:val="19"/>
        </w:rPr>
        <w:t xml:space="preserve">Übertragbarkeit: </w:t>
      </w:r>
      <w:r>
        <w:rPr>
          <w:sz w:val="19"/>
        </w:rPr>
        <w:t>Europäische und globale Studie mit vergleichbarer Patientenselektion; Registerzulassung und AMNOG-Bewertung folgen regulärem Prozess in Deutschland.</w:t>
      </w:r>
    </w:p>
    <w:p>
      <w:r>
        <w:rPr>
          <w:color w:val="5A7D3A"/>
          <w:sz w:val="18"/>
        </w:rPr>
        <w:t>https://pubmed.ncbi.nlm.nih.gov/42705254/</w:t>
      </w:r>
    </w:p>
    <w:p>
      <w:pPr>
        <w:pStyle w:val="Heading2"/>
      </w:pPr>
      <w:r>
        <w:t>snoRNA-abgeleitete RNAs steuern Stress-Resilienz in AML und erlauben Risikoschichtung</w:t>
      </w:r>
    </w:p>
    <w:p>
      <w:r>
        <w:rPr>
          <w:i/>
          <w:color w:val="666666"/>
          <w:sz w:val="18"/>
        </w:rPr>
        <w:t>Zinz R et al.  ·  Leukemia  ·  04.09.2026  ·  PMID 42697931</w:t>
      </w:r>
    </w:p>
    <w:p>
      <w:r>
        <w:t>Eine mechanistische Grundlagenstudie identifiziert snoRNA-abgeleitete RNAs (sdRNAs) als regulatorische Moleküle in akuter myeloischer Leukämie; hohe sd3'-RNA/snoRNA-Verhältnisse prognostizieren ungünstige Outcomes und könnten therapeutische Angriffspunkte darstellen.</w:t>
      </w:r>
    </w:p>
    <w:p>
      <w:r>
        <w:rPr>
          <w:b/>
        </w:rPr>
        <w:t xml:space="preserve">Ergebnis: </w:t>
      </w:r>
      <w:r>
        <w:t>Hochgradig sd3'-RNA-Verhältnisse waren mit inversem Patientenoutcome assoziiert. Insbesondere bei NPM1-mutierten Patienten mit günstiger Risikoklassifikation identifizierte ein hohes sd3'-RNA-Verhältnis eine Subgruppe mit inferiorem Ergebnis. Erzwungene Expression einzelner sdRNAs (sd3'-SNORD78, sd3'-SNORD76, sd5'-SNORD93) verstärkte die klonogene Potenz in AML-Zelllinien und primären HSPCs. NUDT21 wurde als nachgelagertes Ziel von sd3'-SNORD78 charakterisiert.</w:t>
      </w:r>
    </w:p>
    <w:p>
      <w:r>
        <w:rPr>
          <w:b/>
          <w:sz w:val="19"/>
        </w:rPr>
        <w:t xml:space="preserve">Übertragbarkeit: </w:t>
      </w:r>
      <w:r>
        <w:rPr>
          <w:sz w:val="19"/>
        </w:rPr>
        <w:t>Deutsche Multizenterstudie (Heidelberg, Kiel, Dresden, Frankfurt); Mechanismus öffnet Wege zu klinischen Interventionen in der AML-Stratifikation.</w:t>
      </w:r>
    </w:p>
    <w:p>
      <w:r>
        <w:rPr>
          <w:color w:val="5A7D3A"/>
          <w:sz w:val="18"/>
        </w:rPr>
        <w:t>https://pubmed.ncbi.nlm.nih.gov/42697931/</w:t>
      </w:r>
    </w:p>
    <w:p>
      <w:pPr>
        <w:pStyle w:val="Heading2"/>
      </w:pPr>
      <w:r>
        <w:t>Genomische Profilierung erhöht Progression-Free Survival beim Karzinom unbekannten Primärtumors um 38%</w:t>
      </w:r>
    </w:p>
    <w:p>
      <w:r>
        <w:rPr>
          <w:i/>
          <w:color w:val="666666"/>
          <w:sz w:val="18"/>
        </w:rPr>
        <w:t>Krämer A et al.  ·  J Clin Oncol  ·  03.09.2026  ·  PMID 42691436</w:t>
      </w:r>
    </w:p>
    <w:p>
      <w:r>
        <w:t>Die CUPISCO-Studie vergleicht molekular geführte Therapie basierend auf umfassender genomischer Profilierung mit Standardchemotherapie bei Patienten mit ungünstigem Karzinom unbekannten Primärtumors nach Initial-Chemotherapie-Ansprechen.</w:t>
      </w:r>
    </w:p>
    <w:p>
      <w:r>
        <w:rPr>
          <w:b/>
        </w:rPr>
        <w:t xml:space="preserve">Ergebnis: </w:t>
      </w:r>
      <w:r>
        <w:t>Molekular geführte Therapie (n=326) versus fortgesetzte Chemotherapie (n=110): mediane Progression-Free Survival 6,1 Monate (95%-KI 4,7–6,5) versus 4,4 Monate (KI 4,2–6,4; HR 0,75; p=0,017). Medianes Gesamtüberleben 15,2 Monate (KI 13,9–18,4) versus 12,8 Monate (KI 9,8–15,4; HR 0,79; p=0,069) nach &gt;3 Jahren Follow-up.</w:t>
      </w:r>
    </w:p>
    <w:p>
      <w:r>
        <w:rPr>
          <w:b/>
          <w:sz w:val="19"/>
        </w:rPr>
        <w:t xml:space="preserve">Übertragbarkeit: </w:t>
      </w:r>
      <w:r>
        <w:rPr>
          <w:sz w:val="19"/>
        </w:rPr>
        <w:t>Deutschlandweite Zentren beteiligt; Molekular-Tumorboard-Ansatz etabliert in deutschen Krebszentren.</w:t>
      </w:r>
    </w:p>
    <w:p>
      <w:r>
        <w:rPr>
          <w:color w:val="5A7D3A"/>
          <w:sz w:val="18"/>
        </w:rPr>
        <w:t>https://pubmed.ncbi.nlm.nih.gov/42691436/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Onkologie</dc:title>
  <dc:subject/>
  <dc:creator>Monitor Versorgungsforschung</dc:creator>
  <cp:keywords/>
  <dc:description>generated by python-docx</dc:description>
  <cp:lastModifiedBy/>
  <cp:revision>1</cp:revision>
  <dcterms:created xsi:type="dcterms:W3CDTF">2026-10-13T06:00:00Z</dcterms:created>
  <dcterms:modified xsi:type="dcterms:W3CDTF">2026-10-13T06:00:00Z</dcterms:modified>
  <cp:category/>
</cp:coreProperties>
</file>