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29.10.2026  |  6 Studien  |  onkologie.m-vf.de</w:t>
      </w:r>
    </w:p>
    <w:p>
      <w:pPr>
        <w:pStyle w:val="Heading1"/>
      </w:pPr>
      <w:r>
        <w:t>Aufgenommen am 29.10.2026</w:t>
      </w:r>
    </w:p>
    <w:p>
      <w:pPr>
        <w:pStyle w:val="Heading2"/>
      </w:pPr>
      <w:r>
        <w:t>ctDNA und CTC bei Prostatakarzinom: Prognostischer Nutzen unter PARP-Inhibition</w:t>
      </w:r>
    </w:p>
    <w:p>
      <w:r>
        <w:rPr>
          <w:i/>
          <w:color w:val="666666"/>
          <w:sz w:val="18"/>
        </w:rPr>
        <w:t>Yip SM et al.  ·  Lancet Oncol  ·  28.10.2026  ·  PMID 42950862</w:t>
      </w:r>
    </w:p>
    <w:p>
      <w:r>
        <w:t>Analyse des TALAPRO-2-Trials zur prognostischen und prädiktiven Wertigkeit von zirkulierender Tumor-DNA und Tumor-Zellen bei 805 Patienten mit metastasiertem kastrationsresistentem Prostatakarzinom unter Talazoparib plus Enzalutamid versus Placebo plus Enzalutamid.</w:t>
      </w:r>
    </w:p>
    <w:p>
      <w:r>
        <w:rPr>
          <w:b/>
        </w:rPr>
        <w:t xml:space="preserve">Ergebnis: </w:t>
      </w:r>
      <w:r>
        <w:t>84% Konkordanz der HRR-Alteration zwischen Gewebeprobe und ctDNA. Basale ctDNA-Positivität war prognostisch für schlechteres Progressions-freies Überleben (PFS): HR 2,46 [95%-KI 1,68–3,60; p&lt;0,0001] unter Talazoparib und HR 4,03 [2,85–5,72; p&lt;0,0001] unter Placebo. ctDNA-Konversion von positiv zu negativ in Woche 9 war in beiden Gruppen prognostisch für verbessertes PFS. CTC-Konversion und CTC0 zeigten gleichen prognostischen Effekt. ctDNA-Last und CTC-Aufzählung sind damit als breit anwendbare prognostische Marker etabliert.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Gesundheitssystem, Flächentauglichkeit hängt von ctDNA-Assay-Verfügbarkeit ab.</w:t>
      </w:r>
    </w:p>
    <w:p>
      <w:r>
        <w:rPr>
          <w:color w:val="5A7D3A"/>
          <w:sz w:val="18"/>
        </w:rPr>
        <w:t>https://pubmed.ncbi.nlm.nih.gov/42950862/</w:t>
      </w:r>
    </w:p>
    <w:p>
      <w:pPr>
        <w:pStyle w:val="Heading2"/>
      </w:pPr>
      <w:r>
        <w:t>Pembrolizumab plus SBRT in frühem NSCLC: Kein Vorteil, erhöhte Toxizität</w:t>
      </w:r>
    </w:p>
    <w:p>
      <w:r>
        <w:rPr>
          <w:i/>
          <w:color w:val="666666"/>
          <w:sz w:val="18"/>
        </w:rPr>
        <w:t>Jabbour SK et al.  ·  J Clin Oncol  ·  28.10.2026  ·  PMID 42950173</w:t>
      </w:r>
    </w:p>
    <w:p>
      <w:r>
        <w:t>Randomizerter Phase-III-Trial an 448 inoperablen oder operationsablehnenden Patienten mit Stadium I–II NSCLC, die SBRT mit Pembrolizumab oder Placebo erhielten, mit Ereignisfreies-Überleben als Primärendpunkt.</w:t>
      </w:r>
    </w:p>
    <w:p>
      <w:r>
        <w:rPr>
          <w:b/>
        </w:rPr>
        <w:t xml:space="preserve">Ergebnis: </w:t>
      </w:r>
      <w:r>
        <w:t>Medianes Ereignisfreies-Überleben 31,2 Monate (Pembrolizumab) vs. 28,3 Monate (Placebo); Hazard Ratio 0,92 [95%-KI 0,69–1,24]; p=0,2932 – kein signifikanter Unterschied. Grad-3-5-Nebenwirkungen bei 20,4% unter Pembrolizumab vs. 3,7% unter Placebo. Fünf behandlungsbedingte Todesfälle (2,2%) nur in der Pembrolizumab-Gruppe. Trial wurde vorzeitig gestoppt.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deutsche Zentren beteiligt, SBRT-Verfahren in Deutschland etabliert; negatives Ergebnis ist praxisrelevant.</w:t>
      </w:r>
    </w:p>
    <w:p>
      <w:r>
        <w:rPr>
          <w:color w:val="5A7D3A"/>
          <w:sz w:val="18"/>
        </w:rPr>
        <w:t>https://pubmed.ncbi.nlm.nih.gov/42950173/</w:t>
      </w:r>
    </w:p>
    <w:p>
      <w:pPr>
        <w:pStyle w:val="Heading2"/>
      </w:pPr>
      <w:r>
        <w:t>Neuroendokrine Differenzierung als Escape-Mechanismus bei HER2+ Brustkrebs</w:t>
      </w:r>
    </w:p>
    <w:p>
      <w:r>
        <w:rPr>
          <w:i/>
          <w:color w:val="666666"/>
          <w:sz w:val="18"/>
        </w:rPr>
        <w:t>Würth R et al.  ·  Cancer Discov  ·  28.10.2026  ·  PMID 42949420</w:t>
      </w:r>
    </w:p>
    <w:p>
      <w:r>
        <w:t>Grundlagenforschung mit klinischer Implikation: Analyse von 22% der Fälle mit Therapieversagen unter HER2-Therapie, in denen neuroendokrine Differenzierung (NED) auftrat oder zunahm, überwiegend bei HER2-positivem Typ; Identifikation von NEUROD1 als Masterregulator und FGFR1-Abhängigkeit neuroendokriner Zellen.</w:t>
      </w:r>
    </w:p>
    <w:p>
      <w:r>
        <w:rPr>
          <w:b/>
        </w:rPr>
        <w:t xml:space="preserve">Ergebnis: </w:t>
      </w:r>
      <w:r>
        <w:t>NED führt zur EpCAM-Stummschaltung und amplifizierten HER2-Leveln. NCAM-positive Tumor-Zellen (Marker für NED) wurden bei Patienten detektiert, bei denen EpCAM-basierte Erkennung fehlgeschlagen war. FGFR1-Inhibition ist ein therapeutisches Ziel für diese Population. Der Mechanismus erklärt Resistenz gegen HER2-gerichtete Therapie und eröffnet Überwachungs- und Interventionswege.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Grundlagenforschung (DKFZ Heidelberg, NCT); klinische Translation noch offen.</w:t>
      </w:r>
    </w:p>
    <w:p>
      <w:r>
        <w:rPr>
          <w:color w:val="5A7D3A"/>
          <w:sz w:val="18"/>
        </w:rPr>
        <w:t>https://pubmed.ncbi.nlm.nih.gov/42949420/</w:t>
      </w:r>
    </w:p>
    <w:p>
      <w:pPr>
        <w:pStyle w:val="Heading2"/>
      </w:pPr>
      <w:r>
        <w:t>Prognostische Scores CPS+EG und Neo-Bioscore: Patientenbezogen ja, Trialendpunkt-prädiktiv nein</w:t>
      </w:r>
    </w:p>
    <w:p>
      <w:r>
        <w:rPr>
          <w:i/>
          <w:color w:val="666666"/>
          <w:sz w:val="18"/>
        </w:rPr>
        <w:t>Conforti F et al.  ·  Cancer Cell  ·  27.10.2026  ·  PMID 42945961</w:t>
      </w:r>
    </w:p>
    <w:p>
      <w:r>
        <w:t>Metaanalyse von 8.359 Patienten aus 9 neoadjuvanten Randomisierungsstudien der German Breast Group und AGO-B zur Surrogacy-Wertigkeit von CPS+EG und Neo-Bioscore für Langzeitergebnisse (DDFS, iDFS, OS).</w:t>
      </w:r>
    </w:p>
    <w:p>
      <w:r>
        <w:rPr>
          <w:b/>
        </w:rPr>
        <w:t xml:space="preserve">Ergebnis: </w:t>
      </w:r>
      <w:r>
        <w:t>Auf Patientenebene: Beide Scores signifikant assoziiert mit Ergebnissen. Auf Trial-Ebene: Schwache Assoziationen mit DDFS, iDFS und OS (R²=0,03–0,24 mit weiten Konfidenzintervallen). CPS+EG und Neo-Bioscore sind keine zuverlässigen Surrogatendpunkte für Treatmentbenefit in neoadjuvanten Trials, bleiben aber wertvoll für Restrisiko-Stratifizierung des Einzelpatienten nach neoadjuvanter 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deutschsprachige Zentren (Datenquelle), Implikation für deutsches Studiendesign und Routineanwendung klar.</w:t>
      </w:r>
    </w:p>
    <w:p>
      <w:r>
        <w:rPr>
          <w:color w:val="5A7D3A"/>
          <w:sz w:val="18"/>
        </w:rPr>
        <w:t>https://pubmed.ncbi.nlm.nih.gov/42945961/</w:t>
      </w:r>
    </w:p>
    <w:p>
      <w:pPr>
        <w:pStyle w:val="Heading2"/>
      </w:pPr>
      <w:r>
        <w:t>Neoadjuvante Durvalumab + Chemotherapie in resezierbarem/grenzwertig resezierbarem NSCLC</w:t>
      </w:r>
    </w:p>
    <w:p>
      <w:r>
        <w:rPr>
          <w:i/>
          <w:color w:val="666666"/>
          <w:sz w:val="18"/>
        </w:rPr>
        <w:t>Reck M et al.  ·  Nat Med  ·  26.10.2026  ·  PMID 42934326</w:t>
      </w:r>
    </w:p>
    <w:p>
      <w:r>
        <w:t>Phase-2-Trial zur Machbarkeit eines multimodalen Ansatzes mit neoadjuvanter Durvalumab + Chemotherapie (AEGEAN-Schema) oder Chemoradiotherapie bei 142 Patienten mit resezierbarem oder grenzwertig resezierbarem Stadium-III-NSCLC, mit multidisziplinärer Tumorkonferenz-gesteuertem Ansatz.</w:t>
      </w:r>
    </w:p>
    <w:p>
      <w:r>
        <w:rPr>
          <w:b/>
        </w:rPr>
        <w:t xml:space="preserve">Ergebnis: </w:t>
      </w:r>
      <w:r>
        <w:t>Resektionsrate 74,6% [95%-KI 66,7–81,6] in Population mit &gt;33% grenzwertig resezierbarer Fälle. R0-Resektionsrate 96,2% [90,6–99,0]. 92,3% der Patienten erhielten Operation (n=106) oder CRT (n=25); 82,4% erhielten adjuvante/Konsolidierungs-Durvalumab. Während adjuvanter/Konsolidierungs-Phase: Grad-3/4-Nebenwirkungen 7,4% (Resektion) und 17,4% (CRT); Abbruch wegen Toxizität 8,5% und 13,0%. Vorläufig ermutigende Effektivität mit handhabbarem Sicherheitsprofil.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Europa-beteiligt (Deutschland, Frankreich, Italien, Spanien, UK), deutsches Gesundheitssystem vergleichbar.</w:t>
      </w:r>
    </w:p>
    <w:p>
      <w:r>
        <w:rPr>
          <w:color w:val="5A7D3A"/>
          <w:sz w:val="18"/>
        </w:rPr>
        <w:t>https://pubmed.ncbi.nlm.nih.gov/42934326/</w:t>
      </w:r>
    </w:p>
    <w:p>
      <w:pPr>
        <w:pStyle w:val="Heading2"/>
      </w:pPr>
      <w:r>
        <w:t>Dostarlimab + Belrestotug ± Nelistotug in vorbehandeltem NSCLC: Sichere Dosis, geringe Aktivität</w:t>
      </w:r>
    </w:p>
    <w:p>
      <w:r>
        <w:rPr>
          <w:i/>
          <w:color w:val="666666"/>
          <w:sz w:val="18"/>
        </w:rPr>
        <w:t>Spigel DR et al.  ·  Clin Cancer Res  ·  26.10.2026  ·  PMID 42931848</w:t>
      </w:r>
    </w:p>
    <w:p>
      <w:r>
        <w:t>Open-label Phase-I/II-Safety-Studie zu Dostarlimab (anti-PD-1) plus Belrestotug (anti-TIGIT) ± Nelistotug (anti-CD96) in 62 vorbehandelten NSCLC-Patienten nach Progress unter anti-PD-(L)1 und Platin-Chemotherapie; primäre Endpunkte Sicherheit und Verträglichkeit.</w:t>
      </w:r>
    </w:p>
    <w:p>
      <w:r>
        <w:rPr>
          <w:b/>
        </w:rPr>
        <w:t xml:space="preserve">Ergebnis: </w:t>
      </w:r>
      <w:r>
        <w:t>Grad-≥3-Behandlungsnebenwirkungen: 17% (Arm 4 mit Belrestotug 200–1000 mg), 6% (Arm 5 mit Triplett), 14% (Arm 5-randomisiert). Wenige Abbrüche wegen Toxizität. Best Response: Progressive Erkrankung überwiegend, 1 partielle Remission (Arm 5-randomisiert, 210 mg); stabiler Zustand ≥12 Wochen bei 17–29% je nach Arm. Fazit: Gut verträglich aber keine klinisch bedeutsame Aktivität in vorbehandeltem NSCLC; weitere Forschung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USA-Zentren dominant, begrenzte Übertragbarkeit auf deutsches System.</w:t>
      </w:r>
    </w:p>
    <w:p>
      <w:r>
        <w:rPr>
          <w:color w:val="5A7D3A"/>
          <w:sz w:val="18"/>
        </w:rPr>
        <w:t>https://pubmed.ncbi.nlm.nih.gov/42931848/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2026-10-29T06:00:00Z</dcterms:created>
  <dcterms:modified xsi:type="dcterms:W3CDTF">2026-10-29T06:00:00Z</dcterms:modified>
  <cp:category/>
</cp:coreProperties>
</file>