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02.10.2026  |  6 Studien  |  onkologie.m-vf.de</w:t>
      </w:r>
    </w:p>
    <w:p>
      <w:pPr>
        <w:pStyle w:val="Heading1"/>
      </w:pPr>
      <w:r>
        <w:t>Aufgenommen am 02.10.2026</w:t>
      </w:r>
    </w:p>
    <w:p>
      <w:pPr>
        <w:pStyle w:val="Heading2"/>
      </w:pPr>
      <w:r>
        <w:t>Stereotaktische MRT-gesteuerte adaptive Strahlentherapie verbessert Lokalkontrolle bei fortgeschrittenem Pankreaskarzinom</w:t>
      </w:r>
    </w:p>
    <w:p>
      <w:r>
        <w:rPr>
          <w:i/>
          <w:color w:val="666666"/>
          <w:sz w:val="18"/>
        </w:rPr>
        <w:t>Hartfelt PB et al.  ·  Radiother Oncol  ·  01.10.2026  ·  PMID 42822782</w:t>
      </w:r>
    </w:p>
    <w:p>
      <w:r>
        <w:t>Prospektive Studie zur MRT-gesteuerten adaptiven Strahlentherapie (SMART) bei 118 Patienten mit lokal fortgeschrittenem Pankreaskarzinom (50 Gy/5 Fraktionen).</w:t>
      </w:r>
    </w:p>
    <w:p>
      <w:r>
        <w:rPr>
          <w:b/>
        </w:rPr>
        <w:t xml:space="preserve">Ergebnis: </w:t>
      </w:r>
      <w:r>
        <w:t>Medianes Gesamtüberleben 13,2 Monate ab Therapiestart (95%-CI 10,4–15,9), 2-Jahres-Überleben 23,9%. Lokale Progression bei 15,0% nach 1 Jahr und 22,2% nach 2 Jahren. Akute Grad-≥III-Toxizität bei 5,4%, späte bei 3,2%. Fernprogression war dominantes Versagensmus 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 (Odense), vergleichbares europäisches Gesundheitssystem, Technologie in deutschen Zentren verfügbar.</w:t>
      </w:r>
    </w:p>
    <w:p>
      <w:r>
        <w:rPr>
          <w:color w:val="5A7D3A"/>
          <w:sz w:val="18"/>
        </w:rPr>
        <w:t>https://pubmed.ncbi.nlm.nih.gov/42822782/</w:t>
      </w:r>
    </w:p>
    <w:p>
      <w:pPr>
        <w:pStyle w:val="Heading2"/>
      </w:pPr>
      <w:r>
        <w:t>Hohe SMAD4-Expression prognostiziert besseres Überleben nach Pankreaskarzinom-Resektion</w:t>
      </w:r>
    </w:p>
    <w:p>
      <w:r>
        <w:rPr>
          <w:i/>
          <w:color w:val="666666"/>
          <w:sz w:val="18"/>
        </w:rPr>
        <w:t>Williams TM et al.  ·  Int J Radiat Oncol Biol Phys  ·  01.10.2026  ·  PMID 42822544</w:t>
      </w:r>
    </w:p>
    <w:p>
      <w:r>
        <w:t>Biomarker-Analyse von 141 Tumorproben aus der Phase-III-Studie RTOG 9704 zur SMAD4-Expression und Überleben nach adjuvanter Chemoradiotherapie.</w:t>
      </w:r>
    </w:p>
    <w:p>
      <w:r>
        <w:rPr>
          <w:b/>
        </w:rPr>
        <w:t xml:space="preserve">Ergebnis: </w:t>
      </w:r>
      <w:r>
        <w:t>Hohe SMAD4-Expression assoziiert mit verbessertem rezidivfreiem Überleben (HR 0,68, 95%-CI 0,48–0,97, p=0,03) und Gesamtüberleben (HR 0,69, 95%-CI 0,48–0,99, p=0,04). Fernmetastasen-Risiko gesenkt (HR 0,69, p=0,048). Multivariable Analyse bestätigte unabhängige Assoziation für rezidivfreies Überleben (HR 0,66, p=0,03) und Fernmetastasen (HR 0,68, p=0,052).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Biomarker-Definition auf deutsche Pankreaskarzinom-Patienten übertragbar, Prognose-Stratifizierung möglich.</w:t>
      </w:r>
    </w:p>
    <w:p>
      <w:r>
        <w:rPr>
          <w:color w:val="5A7D3A"/>
          <w:sz w:val="18"/>
        </w:rPr>
        <w:t>https://pubmed.ncbi.nlm.nih.gov/42822544/</w:t>
      </w:r>
    </w:p>
    <w:p>
      <w:pPr>
        <w:pStyle w:val="Heading2"/>
      </w:pPr>
      <w:r>
        <w:t>Immuntherapie vor Lebertransplantation senkt Rezidivrisiko bei Hepatozellulärkarzinom</w:t>
      </w:r>
    </w:p>
    <w:p>
      <w:r>
        <w:rPr>
          <w:i/>
          <w:color w:val="666666"/>
          <w:sz w:val="18"/>
        </w:rPr>
        <w:t>Ong M et al.  ·  JAMA Oncol  ·  01.10.2026  ·  PMID 42821267</w:t>
      </w:r>
    </w:p>
    <w:p>
      <w:r>
        <w:t>Retrospektive Matched-Cohort-Studie mit 416 Patienten zur ICI-basierten Downstaging-Therapie vor Lebertransplantation bei initial über Milan-Kriterien liegendem Hepatozellulärkarzinom in acht hochvolumigen chinesischen Transplantationszentren.</w:t>
      </w:r>
    </w:p>
    <w:p>
      <w:r>
        <w:rPr>
          <w:b/>
        </w:rPr>
        <w:t xml:space="preserve">Ergebnis: </w:t>
      </w:r>
      <w:r>
        <w:t>Medianes Gesamtüberleben 4,57 Jahre (ICI-Gruppe, 95%-CI 4,34-n.e.) vs. 2,53 Jahre (Kontrollgruppe, p&lt;0,001). Medianes rezidivfreies Überleben 1,47 Jahre vs. 0,89 Jahre (p=0,02). Postoperatives Rezidivrisiko: HR 0,54 (95%-CI 0,40–0,72). Akute Abstoßung häufiger in ICI-Gruppe (16,3% vs. 8,2%, p=0,01).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Studiendesign auf europäische Transplantationszentren übertragbar, aber China-spezifische Organverfügbarkeit und Immunsuppression – Sicherheit vor Wirksamkeit klären.</w:t>
      </w:r>
    </w:p>
    <w:p>
      <w:r>
        <w:rPr>
          <w:color w:val="5A7D3A"/>
          <w:sz w:val="18"/>
        </w:rPr>
        <w:t>https://pubmed.ncbi.nlm.nih.gov/42821267/</w:t>
      </w:r>
    </w:p>
    <w:p>
      <w:pPr>
        <w:pStyle w:val="Heading2"/>
      </w:pPr>
      <w:r>
        <w:t>Immuntherapie in der Pädiatrie reduziert Spätfolgen-Mortalität beim Hodgkin-Lymphom</w:t>
      </w:r>
    </w:p>
    <w:p>
      <w:r>
        <w:rPr>
          <w:i/>
          <w:color w:val="666666"/>
          <w:sz w:val="18"/>
        </w:rPr>
        <w:t>Rogers JR et al.  ·  J Natl Cancer Inst  ·  01.10.2026  ·  PMID 42820770</w:t>
      </w:r>
    </w:p>
    <w:p>
      <w:r>
        <w:t>Simulationsmodell zur Lebenszeitprognose von 118 Kindern und Adoleszenten mit fortgeschrittenem Hodgkin-Lymphom unter modernen Brentuximab-vedotin- oder Nivolumab-Regimen vs. historischen Chemotherapie-Schemata.</w:t>
      </w:r>
    </w:p>
    <w:p>
      <w:r>
        <w:rPr>
          <w:b/>
        </w:rPr>
        <w:t xml:space="preserve">Ergebnis: </w:t>
      </w:r>
      <w:r>
        <w:t>Überlebensrate im Alter von 50 Jahren: 86% nach historischen und 92–93% nach modernen Immuntherapie-basierten Regimen (vs. 100% in Allgemeinbevölkerung). Überlebensvorteil persistiert, solange immuntherapie-assoziierte Spätsterblichkeit unter ca. 8% bleibt. Modell suggeriert Reduktion der Spätfolge-Last trotz Überlebensvorteil.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USA-basiert, aber Endpunkt (Langzeitüberleben, Spätfolgen) tumorentitäts- und systemunabhängig.</w:t>
      </w:r>
    </w:p>
    <w:p>
      <w:r>
        <w:rPr>
          <w:color w:val="5A7D3A"/>
          <w:sz w:val="18"/>
        </w:rPr>
        <w:t>https://pubmed.ncbi.nlm.nih.gov/42820770/</w:t>
      </w:r>
    </w:p>
    <w:p>
      <w:pPr>
        <w:pStyle w:val="Heading2"/>
      </w:pPr>
      <w:r>
        <w:t>Onkolytisches Adenovirus mit Hyaluronidase verbessert Überleben bei metastasiertem Pankreaskarzinom</w:t>
      </w:r>
    </w:p>
    <w:p>
      <w:r>
        <w:rPr>
          <w:i/>
          <w:color w:val="666666"/>
          <w:sz w:val="18"/>
        </w:rPr>
        <w:t>Garcia-Carbonero R et al.  ·  Nat Med  ·  30.09.2026  ·  PMID 42816596</w:t>
      </w:r>
    </w:p>
    <w:p>
      <w:r>
        <w:t>Randomisierte Phase-2b-Studie mit 101 Patienten (53 VCN-01+Gemcitabin/nab-Paclitaxel, 48 Chemotherapie allein) zur First-Line-Therapie des metastasierten Pankreaskarzinoms.</w:t>
      </w:r>
    </w:p>
    <w:p>
      <w:r>
        <w:rPr>
          <w:b/>
        </w:rPr>
        <w:t xml:space="preserve">Ergebnis: </w:t>
      </w:r>
      <w:r>
        <w:t>Medianes Gesamtüberleben in Full-Analysis-Set: 10,8 Monate (VCN-01-Gruppe) vs. 8,6 Monate (Kontrolle; HR 0,57, 95%-CI 0,34–0,96, p=0,055). Progressionsfreies Überleben 7,0 vs. 4,6 Monate (HR 0,55, p=0,011). 15-Monats-Überleben 35,5% vs. 12,8%, 18-Monats-Überleben 31,1% vs. 8,5%. Ansprechdauer 11,2 vs. 5,4 Monate (p=0,004).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und USA, Zulassung in Phase-3 ausstehend – Transfer zu AMNOG-Bewertung notwendig.</w:t>
      </w:r>
    </w:p>
    <w:p>
      <w:r>
        <w:rPr>
          <w:color w:val="5A7D3A"/>
          <w:sz w:val="18"/>
        </w:rPr>
        <w:t>https://pubmed.ncbi.nlm.nih.gov/42816596/</w:t>
      </w:r>
    </w:p>
    <w:p>
      <w:pPr>
        <w:pStyle w:val="Heading2"/>
      </w:pPr>
      <w:r>
        <w:t>Liquid Biopsy und Tumorvolumen verbessern Überlebensprognose bei metastasierten Malignomen</w:t>
      </w:r>
    </w:p>
    <w:p>
      <w:r>
        <w:rPr>
          <w:i/>
          <w:color w:val="666666"/>
          <w:sz w:val="18"/>
        </w:rPr>
        <w:t>Choucair A et al.  ·  Eur J Cancer  ·  25.09.2026  ·  PMID 42815199</w:t>
      </w:r>
    </w:p>
    <w:p>
      <w:r>
        <w:t>Retrospektive Pankrebs-Kohortenstudie mit 719 Patienten (Training n=570, Validierung n=149) zur kombinierten Prognostik durch Tumorfrakt ion in Blutplasma, CT-Tumorvolumen und Body-Composition.</w:t>
      </w:r>
    </w:p>
    <w:p>
      <w:r>
        <w:rPr>
          <w:b/>
        </w:rPr>
        <w:t xml:space="preserve">Ergebnis: </w:t>
      </w:r>
      <w:r>
        <w:t>28,2% der Patienten zeigten Tumorfrakt ion=0% trotz messbaren Tumors (medianes Volumen 43,6 cm³). Kombiniertes Modell (Tumorfrakt ion + Volumen + klinische Variablen) erreichte C-Index 0,678, besser als Tumorfrakt ion allein (0,634, p=0,04) oder nur klinische Variablen (0,563, p=0,004). Risiko stratifizierung zeigte markant unterschiedliche Überlebensraten (8,3 vs. &gt;25 Monate,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(Gustave Roussy), validiertes prospektives Design für deutsche Zentren nachbildbar.</w:t>
      </w:r>
    </w:p>
    <w:p>
      <w:r>
        <w:rPr>
          <w:color w:val="5A7D3A"/>
          <w:sz w:val="18"/>
        </w:rPr>
        <w:t>https://pubmed.ncbi.nlm.nih.gov/42815199/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2026-10-02T06:00:00Z</dcterms:created>
  <dcterms:modified xsi:type="dcterms:W3CDTF">2026-10-02T06:00:00Z</dcterms:modified>
  <cp:category/>
</cp:coreProperties>
</file>