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Onkologie</w:t>
      </w:r>
    </w:p>
    <w:p>
      <w:r>
        <w:rPr>
          <w:i/>
          <w:color w:val="666666"/>
          <w:sz w:val="18"/>
        </w:rPr>
        <w:t>Stand: 31.10.2026  |  6 Studien  |  onkologie.m-vf.de</w:t>
      </w:r>
    </w:p>
    <w:p>
      <w:pPr>
        <w:pStyle w:val="Heading1"/>
      </w:pPr>
      <w:r>
        <w:t>Aufgenommen am 31.10.2026</w:t>
      </w:r>
    </w:p>
    <w:p>
      <w:pPr>
        <w:pStyle w:val="Heading2"/>
      </w:pPr>
      <w:r>
        <w:t>Bildgestützte Brachytherapie beim Zervixkarzinom: Workflow-Optimierung in ressourcenlimitierten Settings</w:t>
      </w:r>
    </w:p>
    <w:p>
      <w:r>
        <w:rPr>
          <w:i/>
          <w:color w:val="666666"/>
          <w:sz w:val="18"/>
        </w:rPr>
        <w:t>Hande V et al.  ·  Int J Radiat Oncol Biol Phys  ·  30.10.2026  ·  PMID 42962975</w:t>
      </w:r>
    </w:p>
    <w:p>
      <w:r>
        <w:t>Querschnittsstudie an 14 Zentren in 14 Ländern (Länder mit niedrigem/mittlerem Einkommen) zu Workflow-Zeiten und Ressourcenbedarf bei IGBT-Implementierung mit 365 analysierten Workflows.</w:t>
      </w:r>
    </w:p>
    <w:p>
      <w:r>
        <w:rPr>
          <w:b/>
        </w:rPr>
        <w:t xml:space="preserve">Ergebnis: </w:t>
      </w:r>
      <w:r>
        <w:t>Mediane Proceduretime für 2D-konventionell 2h 8min, 3D-Standard-IGBT 2h 35min, 3D-Advanced 4h 16min. Sedation statt Vollnarkose verkürzte Workflows um mediane 35 Minuten. Brachytherapie-Maschinenbedarfsquoten nach nationaler Inzidenz: 0,2–9,5; vier Länder &lt;0,5, zwei 0,5–1,0, acht &gt;1,0. Context-spezifische Implementierungsempfehlungen entwickelt.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International, IAEA-Studie – Workflow-Daten für Mitteleinkommens-Länder-Versorgung adaptierbar</w:t>
      </w:r>
    </w:p>
    <w:p>
      <w:r>
        <w:rPr>
          <w:color w:val="5A7D3A"/>
          <w:sz w:val="18"/>
        </w:rPr>
        <w:t>https://pubmed.ncbi.nlm.nih.gov/42962975/</w:t>
      </w:r>
    </w:p>
    <w:p>
      <w:pPr>
        <w:pStyle w:val="Heading2"/>
      </w:pPr>
      <w:r>
        <w:t>Niederlande: 35,6% der Krebsindikationen sind Off-Label-Einsätze, aber reglementiert</w:t>
      </w:r>
    </w:p>
    <w:p>
      <w:r>
        <w:rPr>
          <w:i/>
          <w:color w:val="666666"/>
          <w:sz w:val="18"/>
        </w:rPr>
        <w:t>Timmer H et al.  ·  ESMO Open  ·  30.10.2026  ·  PMID 42962563</w:t>
      </w:r>
    </w:p>
    <w:p>
      <w:r>
        <w:t>Cross-sectionale Beobachtungsstudie zur Off-Label-Nutzung und Erstattung von Krebsmedikamenten in den Niederlanden anhand nationaler Arzneimittel- und Erstattungsdatenbanken (Datenstand Januar 2025).</w:t>
      </w:r>
    </w:p>
    <w:p>
      <w:r>
        <w:rPr>
          <w:b/>
        </w:rPr>
        <w:t xml:space="preserve">Ergebnis: </w:t>
      </w:r>
      <w:r>
        <w:t>331 von 930 (35,6%) erstattungsfähigen Indikations-Wirksoff-Paare waren Off-Label; 90,3% (n=299) waren hochpreisige Arzneimittel. Chemotherapie machte 67,1% (n=163) der Off-Label-IDPs aus, zielgerichtete Therapien 32,9% (n=109). Bei hochpreisigen Arzneimitteln waren 24,4% (41.238 von 169.043) der Verschreibungen Off-Label, aber nur 2,3% (€30,3 Mio. von €1,3 Mrd.) der Gesamtausgaben. Häufig genutzte Off-Label-Behandlungen stützten sich auf starke Evidenz; Evidenzniveaus variierten bei selteneren Indikationen.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vergleichbares Versicherungssystem – Modell für deutsche Erstattungsbewertung</w:t>
      </w:r>
    </w:p>
    <w:p>
      <w:r>
        <w:rPr>
          <w:color w:val="5A7D3A"/>
          <w:sz w:val="18"/>
        </w:rPr>
        <w:t>https://pubmed.ncbi.nlm.nih.gov/42962563/</w:t>
      </w:r>
    </w:p>
    <w:p>
      <w:pPr>
        <w:pStyle w:val="Heading2"/>
      </w:pPr>
      <w:r>
        <w:t>ctDNA steuert Therapie bei kleinen Lungenmetastasen des Kolonkarzinoms</w:t>
      </w:r>
    </w:p>
    <w:p>
      <w:r>
        <w:rPr>
          <w:i/>
          <w:color w:val="666666"/>
          <w:sz w:val="18"/>
        </w:rPr>
        <w:t>Chang J et al.  ·  Eur J Cancer  ·  22.10.2026  ·  PMID 42962410</w:t>
      </w:r>
    </w:p>
    <w:p>
      <w:r>
        <w:t>Prospektive Kohortenstudie mit 70 mCRC-Patienten mit Lungenknoten ≤2 cm zur ctDNA-gesteuerten Therapieentscheidung (lokal oder systemisch).</w:t>
      </w:r>
    </w:p>
    <w:p>
      <w:r>
        <w:rPr>
          <w:b/>
        </w:rPr>
        <w:t xml:space="preserve">Ergebnis: </w:t>
      </w:r>
      <w:r>
        <w:t>ctDNA-Positivität bei Baseline korrelierte mit verkürztem progressionsfreiem Überleben (PFS) in Kohort 1 (≤1 cm): 3,2 vs. 9,2 Monate (p=0,013). Systemische Chemotherapie erreichte 5× höhere ctDNA-Clearance als lokale Therapie (63,2% vs. 12,5%, p=0,033). Patienten mit anhaltend negativer ctDNA hatten besseres PFS (nicht erreicht vs. 9,2 Monate, p=0,012). ctDNA detektierte extrapulmonale Metastasen mit 5,5 Monaten Vorlauf vor Bildgebung.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 – Befunde zur ctDNA-Stratifizierung sind technologie-unabhängig übertragbar</w:t>
      </w:r>
    </w:p>
    <w:p>
      <w:r>
        <w:rPr>
          <w:color w:val="5A7D3A"/>
          <w:sz w:val="18"/>
        </w:rPr>
        <w:t>https://pubmed.ncbi.nlm.nih.gov/42962410/</w:t>
      </w:r>
    </w:p>
    <w:p>
      <w:pPr>
        <w:pStyle w:val="Heading2"/>
      </w:pPr>
      <w:r>
        <w:t>Methylphenidat lindert Fatigue bei hämatologischen Krebserkrankungen signifikant</w:t>
      </w:r>
    </w:p>
    <w:p>
      <w:r>
        <w:rPr>
          <w:i/>
          <w:color w:val="666666"/>
          <w:sz w:val="18"/>
        </w:rPr>
        <w:t>Frederiksen H et al.  ·  J Clin Oncol  ·  30.10.2026  ·  PMID 42962158</w:t>
      </w:r>
    </w:p>
    <w:p>
      <w:r>
        <w:t>Randomisierte, doppelblinde Crossover-Studie mit 152 fatiguen Patienten mit Hämatoonkologie zum Vergleich Methylphenidat vs. Placebo über je 6 Wochen.</w:t>
      </w:r>
    </w:p>
    <w:p>
      <w:r>
        <w:rPr>
          <w:b/>
        </w:rPr>
        <w:t xml:space="preserve">Ergebnis: </w:t>
      </w:r>
      <w:r>
        <w:t>FACIT-F-Score verbesserte sich unter Methylphenidat um 8,9 Punkte (95%-KI: 7,3–10,4) vs. Placebo 3,9 Punkte (95%-KI: 2,3–5,4); Differenz 5,0 Punkte (95%-KI: 2,8–7,2) zugunsten Methylphenidat. Nebenwirkungen waren mild; Sedation in 8,5% der Fälle. Mediane Dosis Pregabalin 50 mg.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Dänemark, etablierte Methodik – Fatigue-Management auch für Deutschland relevant</w:t>
      </w:r>
    </w:p>
    <w:p>
      <w:r>
        <w:rPr>
          <w:color w:val="5A7D3A"/>
          <w:sz w:val="18"/>
        </w:rPr>
        <w:t>https://pubmed.ncbi.nlm.nih.gov/42962158/</w:t>
      </w:r>
    </w:p>
    <w:p>
      <w:pPr>
        <w:pStyle w:val="Heading2"/>
      </w:pPr>
      <w:r>
        <w:t>Chemotherapie-Reduktion bei HER2-positivem Brustkrebs: 5-Jahres-Sicherheit validiert</w:t>
      </w:r>
    </w:p>
    <w:p>
      <w:r>
        <w:rPr>
          <w:i/>
          <w:color w:val="666666"/>
          <w:sz w:val="18"/>
        </w:rPr>
        <w:t>Pérez-García JM et al.  ·  Nat Med  ·  29.10.2026  ·  PMID 42957778</w:t>
      </w:r>
    </w:p>
    <w:p>
      <w:r>
        <w:t>Randomisierte Phase-2-Studie mit 267 Patientinnen zum Verzicht auf Chemotherapie unter HER2-gerichteter Therapie bei guter PET-Response und pathologischer Komplettremission.</w:t>
      </w:r>
    </w:p>
    <w:p>
      <w:r>
        <w:rPr>
          <w:b/>
        </w:rPr>
        <w:t xml:space="preserve">Ergebnis: </w:t>
      </w:r>
      <w:r>
        <w:t>5-Jahres-invasives krankheitsfreies Überleben (iDFS) in der De-Eskalationsgruppe 89,5% (95%-KI: 85,7–93,4); bei PET-Responderinnen ohne Chemotherapie 92,4% (95%-KI: 86,7–98,5). ctDNA-Clearance korrelierte mit besseren Langzeitergebnissen. Das Verfahren bleibt klinisch valide, erfordert aber weitere Prospektiv-Validierung.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Spanien, Italien, Deutschland, Belgien – europäische Zentren, vergleichbare Onkologie-Standards</w:t>
      </w:r>
    </w:p>
    <w:p>
      <w:r>
        <w:rPr>
          <w:color w:val="5A7D3A"/>
          <w:sz w:val="18"/>
        </w:rPr>
        <w:t>https://pubmed.ncbi.nlm.nih.gov/42957778/</w:t>
      </w:r>
    </w:p>
    <w:p>
      <w:pPr>
        <w:pStyle w:val="Heading2"/>
      </w:pPr>
      <w:r>
        <w:t>Vimseltinib zeigt dauerhafte Remissionen beim Tenosynovialen Riesenzelltumor</w:t>
      </w:r>
    </w:p>
    <w:p>
      <w:r>
        <w:rPr>
          <w:i/>
          <w:color w:val="666666"/>
          <w:sz w:val="18"/>
        </w:rPr>
        <w:t>Bhadri V et al.  ·  Oncologist  ·  07.10.2026  ·  PMID 42898002</w:t>
      </w:r>
    </w:p>
    <w:p>
      <w:r>
        <w:t>Phase-3-Studie MOTION mit 118 Patienten (83 randomisiert, 35 Crossover) zum CSF1R-Inhibitor Vimseltinib bei nicht-operablem TGCT mit &gt;2 Jahren Follow-up-Daten.</w:t>
      </w:r>
    </w:p>
    <w:p>
      <w:r>
        <w:rPr>
          <w:b/>
        </w:rPr>
        <w:t xml:space="preserve">Ergebnis: </w:t>
      </w:r>
      <w:r>
        <w:t>Objektive Ansprechrate (RECIST v1.1) 48% (40/83) in der randomisierten Vimseltinib-Gruppe, 54% (19/35) in der Crossover-Gruppe; 51% (60/118) noch unter Therapie. Langfristige Verbesserungen in Clinical Outcome Assessments. Sicherheitsprofil konsistent, kein choleastisches Leberversagen oder arzneimittelinduzierte Leberschädigung.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Deutschland, Italien, Frankreich – europäische Zentren, vergleichbare Regulierung</w:t>
      </w:r>
    </w:p>
    <w:p>
      <w:r>
        <w:rPr>
          <w:color w:val="5A7D3A"/>
          <w:sz w:val="18"/>
        </w:rPr>
        <w:t>https://pubmed.ncbi.nlm.nih.gov/42898002/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Onkologie</dc:title>
  <dc:subject/>
  <dc:creator>Monitor Versorgungsforschung</dc:creator>
  <cp:keywords/>
  <dc:description>generated by python-docx</dc:description>
  <cp:lastModifiedBy/>
  <cp:revision>1</cp:revision>
  <dcterms:created xsi:type="dcterms:W3CDTF">2026-10-31T06:00:00Z</dcterms:created>
  <dcterms:modified xsi:type="dcterms:W3CDTF">2026-10-31T06:00:00Z</dcterms:modified>
  <cp:category/>
</cp:coreProperties>
</file>