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31.10.2026  |  313 Studien  |  onkologie.m-vf.de</w:t>
      </w:r>
    </w:p>
    <w:p>
      <w:pPr>
        <w:pStyle w:val="Heading1"/>
      </w:pPr>
      <w:r>
        <w:t>Aufgenommen am 31.10.2026</w:t>
      </w:r>
    </w:p>
    <w:p>
      <w:pPr>
        <w:pStyle w:val="Heading2"/>
      </w:pPr>
      <w:r>
        <w:t>Bildgestützte Brachytherapie beim Zervixkarzinom: Workflow-Optimierung in ressourcenlimitierten Settings</w:t>
      </w:r>
    </w:p>
    <w:p>
      <w:r>
        <w:rPr>
          <w:i/>
          <w:color w:val="666666"/>
          <w:sz w:val="18"/>
        </w:rPr>
        <w:t>Hande V et al.  ·  Int J Radiat Oncol Biol Phys  ·  30.10.2026  ·  PMID 42962975</w:t>
      </w:r>
    </w:p>
    <w:p>
      <w:r>
        <w:t>Querschnittsstudie an 14 Zentren in 14 Ländern (Länder mit niedrigem/mittlerem Einkommen) zu Workflow-Zeiten und Ressourcenbedarf bei IGBT-Implementierung mit 365 analysierten Workflows.</w:t>
      </w:r>
    </w:p>
    <w:p>
      <w:r>
        <w:rPr>
          <w:b/>
        </w:rPr>
        <w:t xml:space="preserve">Ergebnis: </w:t>
      </w:r>
      <w:r>
        <w:t>Mediane Proceduretime für 2D-konventionell 2h 8min, 3D-Standard-IGBT 2h 35min, 3D-Advanced 4h 16min. Sedation statt Vollnarkose verkürzte Workflows um mediane 35 Minuten. Brachytherapie-Maschinenbedarfsquoten nach nationaler Inzidenz: 0,2–9,5; vier Länder &lt;0,5, zwei 0,5–1,0, acht &gt;1,0. Context-spezifische Implementierungsempfehlungen entwickelt.</w:t>
      </w:r>
    </w:p>
    <w:p>
      <w:r>
        <w:rPr>
          <w:b/>
          <w:sz w:val="19"/>
        </w:rPr>
        <w:t xml:space="preserve">Übertragbarkeit: </w:t>
      </w:r>
      <w:r>
        <w:rPr>
          <w:sz w:val="19"/>
        </w:rPr>
        <w:t>International, IAEA-Studie – Workflow-Daten für Mitteleinkommens-Länder-Versorgung adaptierbar</w:t>
      </w:r>
    </w:p>
    <w:p>
      <w:r>
        <w:rPr>
          <w:color w:val="5A7D3A"/>
          <w:sz w:val="18"/>
        </w:rPr>
        <w:t>https://pubmed.ncbi.nlm.nih.gov/42962975/</w:t>
      </w:r>
    </w:p>
    <w:p>
      <w:pPr>
        <w:pStyle w:val="Heading2"/>
      </w:pPr>
      <w:r>
        <w:t>Niederlande: 35,6% der Krebsindikationen sind Off-Label-Einsätze, aber reglementiert</w:t>
      </w:r>
    </w:p>
    <w:p>
      <w:r>
        <w:rPr>
          <w:i/>
          <w:color w:val="666666"/>
          <w:sz w:val="18"/>
        </w:rPr>
        <w:t>Timmer H et al.  ·  ESMO Open  ·  30.10.2026  ·  PMID 42962563</w:t>
      </w:r>
    </w:p>
    <w:p>
      <w:r>
        <w:t>Cross-sectionale Beobachtungsstudie zur Off-Label-Nutzung und Erstattung von Krebsmedikamenten in den Niederlanden anhand nationaler Arzneimittel- und Erstattungsdatenbanken (Datenstand Januar 2025).</w:t>
      </w:r>
    </w:p>
    <w:p>
      <w:r>
        <w:rPr>
          <w:b/>
        </w:rPr>
        <w:t xml:space="preserve">Ergebnis: </w:t>
      </w:r>
      <w:r>
        <w:t>331 von 930 (35,6%) erstattungsfähigen Indikations-Wirksoff-Paare waren Off-Label; 90,3% (n=299) waren hochpreisige Arzneimittel. Chemotherapie machte 67,1% (n=163) der Off-Label-IDPs aus, zielgerichtete Therapien 32,9% (n=109). Bei hochpreisigen Arzneimitteln waren 24,4% (41.238 von 169.043) der Verschreibungen Off-Label, aber nur 2,3% (€30,3 Mio. von €1,3 Mrd.) der Gesamtausgaben. Häufig genutzte Off-Label-Behandlungen stützten sich auf starke Evidenz; Evidenzniveaus variierten bei selteneren Indikationen.</w:t>
      </w:r>
    </w:p>
    <w:p>
      <w:r>
        <w:rPr>
          <w:b/>
          <w:sz w:val="19"/>
        </w:rPr>
        <w:t xml:space="preserve">Übertragbarkeit: </w:t>
      </w:r>
      <w:r>
        <w:rPr>
          <w:sz w:val="19"/>
        </w:rPr>
        <w:t>Niederlande, vergleichbares Versicherungssystem – Modell für deutsche Erstattungsbewertung</w:t>
      </w:r>
    </w:p>
    <w:p>
      <w:r>
        <w:rPr>
          <w:color w:val="5A7D3A"/>
          <w:sz w:val="18"/>
        </w:rPr>
        <w:t>https://pubmed.ncbi.nlm.nih.gov/42962563/</w:t>
      </w:r>
    </w:p>
    <w:p>
      <w:pPr>
        <w:pStyle w:val="Heading2"/>
      </w:pPr>
      <w:r>
        <w:t>ctDNA steuert Therapie bei kleinen Lungenmetastasen des Kolonkarzinoms</w:t>
      </w:r>
    </w:p>
    <w:p>
      <w:r>
        <w:rPr>
          <w:i/>
          <w:color w:val="666666"/>
          <w:sz w:val="18"/>
        </w:rPr>
        <w:t>Chang J et al.  ·  Eur J Cancer  ·  22.10.2026  ·  PMID 42962410</w:t>
      </w:r>
    </w:p>
    <w:p>
      <w:r>
        <w:t>Prospektive Kohortenstudie mit 70 mCRC-Patienten mit Lungenknoten ≤2 cm zur ctDNA-gesteuerten Therapieentscheidung (lokal oder systemisch).</w:t>
      </w:r>
    </w:p>
    <w:p>
      <w:r>
        <w:rPr>
          <w:b/>
        </w:rPr>
        <w:t xml:space="preserve">Ergebnis: </w:t>
      </w:r>
      <w:r>
        <w:t>ctDNA-Positivität bei Baseline korrelierte mit verkürztem progressionsfreiem Überleben (PFS) in Kohort 1 (≤1 cm): 3,2 vs. 9,2 Monate (p=0,013). Systemische Chemotherapie erreichte 5× höhere ctDNA-Clearance als lokale Therapie (63,2% vs. 12,5%, p=0,033). Patienten mit anhaltend negativer ctDNA hatten besseres PFS (nicht erreicht vs. 9,2 Monate, p=0,012). ctDNA detektierte extrapulmonale Metastasen mit 5,5 Monaten Vorlauf vor Bildgebung.</w:t>
      </w:r>
    </w:p>
    <w:p>
      <w:r>
        <w:rPr>
          <w:b/>
          <w:sz w:val="19"/>
        </w:rPr>
        <w:t xml:space="preserve">Übertragbarkeit: </w:t>
      </w:r>
      <w:r>
        <w:rPr>
          <w:sz w:val="19"/>
        </w:rPr>
        <w:t>China – Befunde zur ctDNA-Stratifizierung sind technologie-unabhängig übertragbar</w:t>
      </w:r>
    </w:p>
    <w:p>
      <w:r>
        <w:rPr>
          <w:color w:val="5A7D3A"/>
          <w:sz w:val="18"/>
        </w:rPr>
        <w:t>https://pubmed.ncbi.nlm.nih.gov/42962410/</w:t>
      </w:r>
    </w:p>
    <w:p>
      <w:pPr>
        <w:pStyle w:val="Heading2"/>
      </w:pPr>
      <w:r>
        <w:t>Methylphenidat lindert Fatigue bei hämatologischen Krebserkrankungen signifikant</w:t>
      </w:r>
    </w:p>
    <w:p>
      <w:r>
        <w:rPr>
          <w:i/>
          <w:color w:val="666666"/>
          <w:sz w:val="18"/>
        </w:rPr>
        <w:t>Frederiksen H et al.  ·  J Clin Oncol  ·  30.10.2026  ·  PMID 42962158</w:t>
      </w:r>
    </w:p>
    <w:p>
      <w:r>
        <w:t>Randomisierte, doppelblinde Crossover-Studie mit 152 fatiguen Patienten mit Hämatoonkologie zum Vergleich Methylphenidat vs. Placebo über je 6 Wochen.</w:t>
      </w:r>
    </w:p>
    <w:p>
      <w:r>
        <w:rPr>
          <w:b/>
        </w:rPr>
        <w:t xml:space="preserve">Ergebnis: </w:t>
      </w:r>
      <w:r>
        <w:t>FACIT-F-Score verbesserte sich unter Methylphenidat um 8,9 Punkte (95%-KI: 7,3–10,4) vs. Placebo 3,9 Punkte (95%-KI: 2,3–5,4); Differenz 5,0 Punkte (95%-KI: 2,8–7,2) zugunsten Methylphenidat. Nebenwirkungen waren mild; Sedation in 8,5% der Fälle. Mediane Dosis Pregabalin 50 mg.</w:t>
      </w:r>
    </w:p>
    <w:p>
      <w:r>
        <w:rPr>
          <w:b/>
          <w:sz w:val="19"/>
        </w:rPr>
        <w:t xml:space="preserve">Übertragbarkeit: </w:t>
      </w:r>
      <w:r>
        <w:rPr>
          <w:sz w:val="19"/>
        </w:rPr>
        <w:t>Dänemark, etablierte Methodik – Fatigue-Management auch für Deutschland relevant</w:t>
      </w:r>
    </w:p>
    <w:p>
      <w:r>
        <w:rPr>
          <w:color w:val="5A7D3A"/>
          <w:sz w:val="18"/>
        </w:rPr>
        <w:t>https://pubmed.ncbi.nlm.nih.gov/42962158/</w:t>
      </w:r>
    </w:p>
    <w:p>
      <w:pPr>
        <w:pStyle w:val="Heading2"/>
      </w:pPr>
      <w:r>
        <w:t>Chemotherapie-Reduktion bei HER2-positivem Brustkrebs: 5-Jahres-Sicherheit validiert</w:t>
      </w:r>
    </w:p>
    <w:p>
      <w:r>
        <w:rPr>
          <w:i/>
          <w:color w:val="666666"/>
          <w:sz w:val="18"/>
        </w:rPr>
        <w:t>Pérez-García JM et al.  ·  Nat Med  ·  29.10.2026  ·  PMID 42957778</w:t>
      </w:r>
    </w:p>
    <w:p>
      <w:r>
        <w:t>Randomisierte Phase-2-Studie mit 267 Patientinnen zum Verzicht auf Chemotherapie unter HER2-gerichteter Therapie bei guter PET-Response und pathologischer Komplettremission.</w:t>
      </w:r>
    </w:p>
    <w:p>
      <w:r>
        <w:rPr>
          <w:b/>
        </w:rPr>
        <w:t xml:space="preserve">Ergebnis: </w:t>
      </w:r>
      <w:r>
        <w:t>5-Jahres-invasives krankheitsfreies Überleben (iDFS) in der De-Eskalationsgruppe 89,5% (95%-KI: 85,7–93,4); bei PET-Responderinnen ohne Chemotherapie 92,4% (95%-KI: 86,7–98,5). ctDNA-Clearance korrelierte mit besseren Langzeitergebnissen. Das Verfahren bleibt klinisch valide, erfordert aber weitere Prospektiv-Validierung.</w:t>
      </w:r>
    </w:p>
    <w:p>
      <w:r>
        <w:rPr>
          <w:b/>
          <w:sz w:val="19"/>
        </w:rPr>
        <w:t xml:space="preserve">Übertragbarkeit: </w:t>
      </w:r>
      <w:r>
        <w:rPr>
          <w:sz w:val="19"/>
        </w:rPr>
        <w:t>Spanien, Italien, Deutschland, Belgien – europäische Zentren, vergleichbare Onkologie-Standards</w:t>
      </w:r>
    </w:p>
    <w:p>
      <w:r>
        <w:rPr>
          <w:color w:val="5A7D3A"/>
          <w:sz w:val="18"/>
        </w:rPr>
        <w:t>https://pubmed.ncbi.nlm.nih.gov/42957778/</w:t>
      </w:r>
    </w:p>
    <w:p>
      <w:pPr>
        <w:pStyle w:val="Heading2"/>
      </w:pPr>
      <w:r>
        <w:t>Vimseltinib zeigt dauerhafte Remissionen beim Tenosynovialen Riesenzelltumor</w:t>
      </w:r>
    </w:p>
    <w:p>
      <w:r>
        <w:rPr>
          <w:i/>
          <w:color w:val="666666"/>
          <w:sz w:val="18"/>
        </w:rPr>
        <w:t>Bhadri V et al.  ·  Oncologist  ·  07.10.2026  ·  PMID 42898002</w:t>
      </w:r>
    </w:p>
    <w:p>
      <w:r>
        <w:t>Phase-3-Studie MOTION mit 118 Patienten (83 randomisiert, 35 Crossover) zum CSF1R-Inhibitor Vimseltinib bei nicht-operablem TGCT mit &gt;2 Jahren Follow-up-Daten.</w:t>
      </w:r>
    </w:p>
    <w:p>
      <w:r>
        <w:rPr>
          <w:b/>
        </w:rPr>
        <w:t xml:space="preserve">Ergebnis: </w:t>
      </w:r>
      <w:r>
        <w:t>Objektive Ansprechrate (RECIST v1.1) 48% (40/83) in der randomisierten Vimseltinib-Gruppe, 54% (19/35) in der Crossover-Gruppe; 51% (60/118) noch unter Therapie. Langfristige Verbesserungen in Clinical Outcome Assessments. Sicherheitsprofil konsistent, kein choleastisches Leberversagen oder arzneimittelinduzierte Leberschädigung.</w:t>
      </w:r>
    </w:p>
    <w:p>
      <w:r>
        <w:rPr>
          <w:b/>
          <w:sz w:val="19"/>
        </w:rPr>
        <w:t xml:space="preserve">Übertragbarkeit: </w:t>
      </w:r>
      <w:r>
        <w:rPr>
          <w:sz w:val="19"/>
        </w:rPr>
        <w:t>Niederlande, Deutschland, Italien, Frankreich – europäische Zentren, vergleichbare Regulierung</w:t>
      </w:r>
    </w:p>
    <w:p>
      <w:r>
        <w:rPr>
          <w:color w:val="5A7D3A"/>
          <w:sz w:val="18"/>
        </w:rPr>
        <w:t>https://pubmed.ncbi.nlm.nih.gov/42898002/</w:t>
      </w:r>
    </w:p>
    <w:p>
      <w:pPr>
        <w:pStyle w:val="Heading1"/>
      </w:pPr>
      <w:r>
        <w:t>Aufgenommen am 30.10.2026</w:t>
      </w:r>
    </w:p>
    <w:p>
      <w:pPr>
        <w:pStyle w:val="Heading2"/>
      </w:pPr>
      <w:r>
        <w:t>Pazopanib alternierend mit Bevacizumab: PFS 24,8 Monate in Nierenzellkarzinom-Studie</w:t>
      </w:r>
    </w:p>
    <w:p>
      <w:r>
        <w:rPr>
          <w:i/>
          <w:color w:val="666666"/>
          <w:sz w:val="18"/>
        </w:rPr>
        <w:t>George S et al.  ·  Lancet Oncol  ·  27.10.2026  ·  PMID 42945979</w:t>
      </w:r>
    </w:p>
    <w:p>
      <w:r>
        <w:t>Phase-1/2-Studie (USA, 5 Zentren) zu alternierend verabreichtem Pazopanib (800 mg täglich) und Bevacizumab (10 mg/kg) in 10-Wochen-Zyklen bei therapienaiven Patienten mit metastasiertem klarzelligen Nierenzellkarzinom; Phase 2 mit 51 evaluierbaren Patienten (94 % Kaukasier, 65 % günstiges Risiko).</w:t>
      </w:r>
    </w:p>
    <w:p>
      <w:r>
        <w:rPr>
          <w:b/>
        </w:rPr>
        <w:t xml:space="preserve">Ergebnis: </w:t>
      </w:r>
      <w:r>
        <w:t>Medianes PFS 24,8 Monate (95%-KI 17,2–34,3). Häufigste Grad-3/4-AE: Hypertonie (34 %), erhöhte Transaminasen (12–17 %). 8 % der Patienten beendeten die Studie wegen behandlungsbedingt schwerwiegender AE, keine Todesfälle. Das Regime zeigt vielversprechende antitumorale Aktivität in der günstigen-Risiko-Gruppe.</w:t>
      </w:r>
    </w:p>
    <w:p>
      <w:r>
        <w:rPr>
          <w:b/>
          <w:sz w:val="19"/>
        </w:rPr>
        <w:t xml:space="preserve">Übertragbarkeit: </w:t>
      </w:r>
      <w:r>
        <w:rPr>
          <w:sz w:val="19"/>
        </w:rPr>
        <w:t>USA, Single-Arm Phase-2-Design; Phase-3-Daten für Validierung erforderlich</w:t>
      </w:r>
    </w:p>
    <w:p>
      <w:r>
        <w:rPr>
          <w:color w:val="5A7D3A"/>
          <w:sz w:val="18"/>
        </w:rPr>
        <w:t>https://pubmed.ncbi.nlm.nih.gov/42945979/</w:t>
      </w:r>
    </w:p>
    <w:p>
      <w:pPr>
        <w:pStyle w:val="Heading2"/>
      </w:pPr>
      <w:r>
        <w:t>Perioperatives PD-1-Checkpoint-Inhibitor verkürzt Rezidivrisiko um 48% bei resektablem NSCLC</w:t>
      </w:r>
    </w:p>
    <w:p>
      <w:r>
        <w:rPr>
          <w:i/>
          <w:color w:val="666666"/>
          <w:sz w:val="18"/>
        </w:rPr>
        <w:t>Li ZM et al.  ·  Ann Oncol  ·  31.12.2026  ·  PMID 42933639</w:t>
      </w:r>
    </w:p>
    <w:p>
      <w:r>
        <w:t>Chinesische Phase-III-Studie (501 Patienten) zu neoadjuvantem/adjuvantem Toripalimab (PD-1-Inhibitor) plus Chemotherapie versus Placebo bei resektablem Stadium-II/III-NSCLC mit 48,2-Monaten medianer Nachbeobachtung.</w:t>
      </w:r>
    </w:p>
    <w:p>
      <w:r>
        <w:rPr>
          <w:b/>
        </w:rPr>
        <w:t xml:space="preserve">Ergebnis: </w:t>
      </w:r>
      <w:r>
        <w:t>Investigator-assessiertes EFS: stratifiziertes HR 0,52 (95%-KI 0,39–0,68, p&lt;0,0001); medianes EFS nicht erreicht vs. 20,2 Monate Placebo. Major-Pathologic-Response-Rate 47 % vs. 9 % (p&lt;0,0001). OS-Hazard-Ratio 0,66 (p=0,0072), mediales OS in beiden Armen nicht erreicht. Sicherheitsprofil konsistent, keine neuen Signale.</w:t>
      </w:r>
    </w:p>
    <w:p>
      <w:r>
        <w:rPr>
          <w:b/>
          <w:sz w:val="19"/>
        </w:rPr>
        <w:t xml:space="preserve">Übertragbarkeit: </w:t>
      </w:r>
      <w:r>
        <w:rPr>
          <w:sz w:val="19"/>
        </w:rPr>
        <w:t>China, vergleichbare Hochvolumen-Zentren; Perioperative Immunchemotherapie bei resektablem NSCLC etabliert</w:t>
      </w:r>
    </w:p>
    <w:p>
      <w:r>
        <w:rPr>
          <w:color w:val="5A7D3A"/>
          <w:sz w:val="18"/>
        </w:rPr>
        <w:t>https://pubmed.ncbi.nlm.nih.gov/42933639/</w:t>
      </w:r>
    </w:p>
    <w:p>
      <w:pPr>
        <w:pStyle w:val="Heading2"/>
      </w:pPr>
      <w:r>
        <w:t>Neoadjuvanter Immune Checkpoint Inhibitor verlängert krankheitsfreies Überleben bei kutanem Plattenepithelkarzinom</w:t>
      </w:r>
    </w:p>
    <w:p>
      <w:r>
        <w:rPr>
          <w:i/>
          <w:color w:val="666666"/>
          <w:sz w:val="18"/>
        </w:rPr>
        <w:t>Gross ND et al.  ·  J Clin Oncol  ·  24.10.2026  ·  PMID 42921711</w:t>
      </w:r>
    </w:p>
    <w:p>
      <w:r>
        <w:t>Multicenter-Phase-II-Studie zu neoadjuvantem Cemiplimab (PD-1-Inhibitor) vor Operation bei resektablem kutanem Plattenepithelkarzinom Stadium II–IV mit 81 Patienten und 54 Monaten Follow-up.</w:t>
      </w:r>
    </w:p>
    <w:p>
      <w:r>
        <w:rPr>
          <w:b/>
        </w:rPr>
        <w:t xml:space="preserve">Ergebnis: </w:t>
      </w:r>
      <w:r>
        <w:t>54-Monats-EFS 76,2 % (bei 40 Patienten mit pathologischer Komplettremission: 81,5 %, ohne Rezidive). Geschätztes 54-Monats-OS 79,4 %. Keine neuen Grad-≥3-Nebenwirkungen. Die neoadjuvante Behandlung führt zu dauerhaften Remissionen ohne späte Rezidive oder neue Sicherheitssignale.</w:t>
      </w:r>
    </w:p>
    <w:p>
      <w:r>
        <w:rPr>
          <w:b/>
          <w:sz w:val="19"/>
        </w:rPr>
        <w:t xml:space="preserve">Übertragbarkeit: </w:t>
      </w:r>
      <w:r>
        <w:rPr>
          <w:sz w:val="19"/>
        </w:rPr>
        <w:t>Internationale Studie, vergleichbare hochspezialisierte Zentrumsstruktur erforderlich</w:t>
      </w:r>
    </w:p>
    <w:p>
      <w:r>
        <w:rPr>
          <w:color w:val="5A7D3A"/>
          <w:sz w:val="18"/>
        </w:rPr>
        <w:t>https://pubmed.ncbi.nlm.nih.gov/42921711/</w:t>
      </w:r>
    </w:p>
    <w:p>
      <w:pPr>
        <w:pStyle w:val="Heading2"/>
      </w:pPr>
      <w:r>
        <w:t>Hochdosis-Chemotherapie für Hodentumor-Salvage: OS 36,4 Monate in Europastudie</w:t>
      </w:r>
    </w:p>
    <w:p>
      <w:r>
        <w:rPr>
          <w:i/>
          <w:color w:val="666666"/>
          <w:sz w:val="18"/>
        </w:rPr>
        <w:t>Tateo V et al.  ·  ESMO Open  ·  15.09.2026  ·  PMID 42914497</w:t>
      </w:r>
    </w:p>
    <w:p>
      <w:r>
        <w:t>Analyse von 2204 Keimzelltumor-Patienten aus dem EBMT-Register, die zwischen 2000 und 2022 Hochdosis-Carboplatin/Etoposid erhielten, mit Fokus auf Timing und Salvage-Linie (3–6, 6–12, &gt;12 Monate nach Diagnose).</w:t>
      </w:r>
    </w:p>
    <w:p>
      <w:r>
        <w:rPr>
          <w:b/>
        </w:rPr>
        <w:t xml:space="preserve">Ergebnis: </w:t>
      </w:r>
      <w:r>
        <w:t>Medianes OS 36,4 Monate, medianes PFS 9,9 Monate. Längeres Zeitintervall bis zur HD-CT war mit erhöhtem Hazard für Progression und Tod assoziiert. In nicht-hochrisiko-Patienten signifikante Interaktion zwischen Timing und OS (p=0,04), deutend auf nichtlineare Beziehung.</w:t>
      </w:r>
    </w:p>
    <w:p>
      <w:r>
        <w:rPr>
          <w:b/>
          <w:sz w:val="19"/>
        </w:rPr>
        <w:t xml:space="preserve">Übertragbarkeit: </w:t>
      </w:r>
      <w:r>
        <w:rPr>
          <w:sz w:val="19"/>
        </w:rPr>
        <w:t>Europäisches Register, deutschsprachige Zentren vertreten, direkt übertragbar</w:t>
      </w:r>
    </w:p>
    <w:p>
      <w:r>
        <w:rPr>
          <w:color w:val="5A7D3A"/>
          <w:sz w:val="18"/>
        </w:rPr>
        <w:t>https://pubmed.ncbi.nlm.nih.gov/42914497/</w:t>
      </w:r>
    </w:p>
    <w:p>
      <w:pPr>
        <w:pStyle w:val="Heading2"/>
      </w:pPr>
      <w:r>
        <w:t>Multiomic-Analyse enthüllt Targetable Pathways in MSS-Kolorektalkarzinom</w:t>
      </w:r>
    </w:p>
    <w:p>
      <w:r>
        <w:rPr>
          <w:i/>
          <w:color w:val="666666"/>
          <w:sz w:val="18"/>
        </w:rPr>
        <w:t>Sadanandam A et al.  ·  Cancer Cell  ·  22.10.2026  ·  PMID 42913633</w:t>
      </w:r>
    </w:p>
    <w:p>
      <w:r>
        <w:t>Integrative Multiomic-Analyse (Genomik, Transkriptomik, Proteomik) von ~2000 Tumoren inkl. 316 MSS-Kolorektalkarzinomen mit funktionaler Validierung in Patient-Derived-Tumoreoid und Xenograft-Modellen.</w:t>
      </w:r>
    </w:p>
    <w:p>
      <w:r>
        <w:rPr>
          <w:b/>
        </w:rPr>
        <w:t xml:space="preserve">Ergebnis: </w:t>
      </w:r>
      <w:r>
        <w:t>Identifikation komplexer molekularer Programme (Replikationsstress, Glutaminolyse, MYC-E2F-Netzwerke) in RAS-mutanten MSS-CRC; FAK-, PDK1/2- und Proteasom-Inhibition plus MEK-Blockade zeigen synergistische Effekte in funktionalen Modellen. Diese Kombinationen könnten Behandlungsoptionen für MSS-CRC verbessern.</w:t>
      </w:r>
    </w:p>
    <w:p>
      <w:r>
        <w:rPr>
          <w:b/>
          <w:sz w:val="19"/>
        </w:rPr>
        <w:t xml:space="preserve">Übertragbarkeit: </w:t>
      </w:r>
      <w:r>
        <w:rPr>
          <w:sz w:val="19"/>
        </w:rPr>
        <w:t>Präklinische Validierung; Weg zur Klinik noch offen, wird durch Multiomic-Integration angebahnt</w:t>
      </w:r>
    </w:p>
    <w:p>
      <w:r>
        <w:rPr>
          <w:color w:val="5A7D3A"/>
          <w:sz w:val="18"/>
        </w:rPr>
        <w:t>https://pubmed.ncbi.nlm.nih.gov/42913633/</w:t>
      </w:r>
    </w:p>
    <w:p>
      <w:pPr>
        <w:pStyle w:val="Heading2"/>
      </w:pPr>
      <w:r>
        <w:t>ESCAT v2: Neuer Standard für Bewertung von Biomarkern in Präzisionsmedizin</w:t>
      </w:r>
    </w:p>
    <w:p>
      <w:r>
        <w:rPr>
          <w:i/>
          <w:color w:val="666666"/>
          <w:sz w:val="18"/>
        </w:rPr>
        <w:t>El Helali A et al.  ·  Ann Oncol  ·  21.10.2026  ·  PMID 42906778</w:t>
      </w:r>
    </w:p>
    <w:p>
      <w:r>
        <w:t>Überarbeiteter internationaler Expertenkonsens zur Klassifizierung molekularer Alterationen nach Aktivierbarkeit und Resistenzpotenzial, mit neuer Uncertain-Graduierung, Tumor-Agnostiker-Kriterien und formaler Resistenz-Skala.</w:t>
      </w:r>
    </w:p>
    <w:p>
      <w:r>
        <w:rPr>
          <w:b/>
        </w:rPr>
        <w:t xml:space="preserve">Ergebnis: </w:t>
      </w:r>
      <w:r>
        <w:t>ESCAT v2 strukturiert Tier I in ‚proven', ‚inferred', ‚extrapolated'; Tier II in drei Evidenzstufen; neuer Tier X mit Subkategorien für getestete inaktive und ineffektive Matches. Vier-Level-Resistenz-Skala von klinisch validiert bis präklinisch. Framework ermöglicht nuanciertere Kommunikation zwischen Klinikern, Patienten und Regulierern.</w:t>
      </w:r>
    </w:p>
    <w:p>
      <w:r>
        <w:rPr>
          <w:b/>
          <w:sz w:val="19"/>
        </w:rPr>
        <w:t xml:space="preserve">Übertragbarkeit: </w:t>
      </w:r>
      <w:r>
        <w:rPr>
          <w:sz w:val="19"/>
        </w:rPr>
        <w:t>ESMO-Leitlinie, europäischer Standard, direkt für deutsche Tumorkonferenzen und Molekulare Tumorboards anwendbar</w:t>
      </w:r>
    </w:p>
    <w:p>
      <w:r>
        <w:rPr>
          <w:color w:val="5A7D3A"/>
          <w:sz w:val="18"/>
        </w:rPr>
        <w:t>https://pubmed.ncbi.nlm.nih.gov/42906778/</w:t>
      </w:r>
    </w:p>
    <w:p>
      <w:pPr>
        <w:pStyle w:val="Heading1"/>
      </w:pPr>
      <w:r>
        <w:t>Aufgenommen am 29.10.2026</w:t>
      </w:r>
    </w:p>
    <w:p>
      <w:pPr>
        <w:pStyle w:val="Heading2"/>
      </w:pPr>
      <w:r>
        <w:t>ctDNA und CTC bei Prostatakarzinom: Prognostischer Nutzen unter PARP-Inhibition</w:t>
      </w:r>
    </w:p>
    <w:p>
      <w:r>
        <w:rPr>
          <w:i/>
          <w:color w:val="666666"/>
          <w:sz w:val="18"/>
        </w:rPr>
        <w:t>Yip SM et al.  ·  Lancet Oncol  ·  28.10.2026  ·  PMID 42950862</w:t>
      </w:r>
    </w:p>
    <w:p>
      <w:r>
        <w:t>Analyse des TALAPRO-2-Trials zur prognostischen und prädiktiven Wertigkeit von zirkulierender Tumor-DNA und Tumor-Zellen bei 805 Patienten mit metastasiertem kastrationsresistentem Prostatakarzinom unter Talazoparib plus Enzalutamid versus Placebo plus Enzalutamid.</w:t>
      </w:r>
    </w:p>
    <w:p>
      <w:r>
        <w:rPr>
          <w:b/>
        </w:rPr>
        <w:t xml:space="preserve">Ergebnis: </w:t>
      </w:r>
      <w:r>
        <w:t>84% Konkordanz der HRR-Alteration zwischen Gewebeprobe und ctDNA. Basale ctDNA-Positivität war prognostisch für schlechteres Progressions-freies Überleben (PFS): HR 2,46 [95%-KI 1,68–3,60; p&lt;0,0001] unter Talazoparib und HR 4,03 [2,85–5,72; p&lt;0,0001] unter Placebo. ctDNA-Konversion von positiv zu negativ in Woche 9 war in beiden Gruppen prognostisch für verbessertes PFS. CTC-Konversion und CTC0 zeigten gleichen prognostischen Effekt. ctDNA-Last und CTC-Aufzählung sind damit als breit anwendbare prognostische Marker etabliert.</w:t>
      </w:r>
    </w:p>
    <w:p>
      <w:r>
        <w:rPr>
          <w:b/>
          <w:sz w:val="19"/>
        </w:rPr>
        <w:t xml:space="preserve">Übertragbarkeit: </w:t>
      </w:r>
      <w:r>
        <w:rPr>
          <w:sz w:val="19"/>
        </w:rPr>
        <w:t>Deutsches Gesundheitssystem, Flächentauglichkeit hängt von ctDNA-Assay-Verfügbarkeit ab.</w:t>
      </w:r>
    </w:p>
    <w:p>
      <w:r>
        <w:rPr>
          <w:color w:val="5A7D3A"/>
          <w:sz w:val="18"/>
        </w:rPr>
        <w:t>https://pubmed.ncbi.nlm.nih.gov/42950862/</w:t>
      </w:r>
    </w:p>
    <w:p>
      <w:pPr>
        <w:pStyle w:val="Heading2"/>
      </w:pPr>
      <w:r>
        <w:t>Pembrolizumab plus SBRT in frühem NSCLC: Kein Vorteil, erhöhte Toxizität</w:t>
      </w:r>
    </w:p>
    <w:p>
      <w:r>
        <w:rPr>
          <w:i/>
          <w:color w:val="666666"/>
          <w:sz w:val="18"/>
        </w:rPr>
        <w:t>Jabbour SK et al.  ·  J Clin Oncol  ·  28.10.2026  ·  PMID 42950173</w:t>
      </w:r>
    </w:p>
    <w:p>
      <w:r>
        <w:t>Randomizerter Phase-III-Trial an 448 inoperablen oder operationsablehnenden Patienten mit Stadium I–II NSCLC, die SBRT mit Pembrolizumab oder Placebo erhielten, mit Ereignisfreies-Überleben als Primärendpunkt.</w:t>
      </w:r>
    </w:p>
    <w:p>
      <w:r>
        <w:rPr>
          <w:b/>
        </w:rPr>
        <w:t xml:space="preserve">Ergebnis: </w:t>
      </w:r>
      <w:r>
        <w:t>Medianes Ereignisfreies-Überleben 31,2 Monate (Pembrolizumab) vs. 28,3 Monate (Placebo); Hazard Ratio 0,92 [95%-KI 0,69–1,24]; p=0,2932 – kein signifikanter Unterschied. Grad-3-5-Nebenwirkungen bei 20,4% unter Pembrolizumab vs. 3,7% unter Placebo. Fünf behandlungsbedingte Todesfälle (2,2%) nur in der Pembrolizumab-Gruppe. Trial wurde vorzeitig gestoppt.</w:t>
      </w:r>
    </w:p>
    <w:p>
      <w:r>
        <w:rPr>
          <w:b/>
          <w:sz w:val="19"/>
        </w:rPr>
        <w:t xml:space="preserve">Übertragbarkeit: </w:t>
      </w:r>
      <w:r>
        <w:rPr>
          <w:sz w:val="19"/>
        </w:rPr>
        <w:t>Europäische und deutsche Zentren beteiligt, SBRT-Verfahren in Deutschland etabliert; negatives Ergebnis ist praxisrelevant.</w:t>
      </w:r>
    </w:p>
    <w:p>
      <w:r>
        <w:rPr>
          <w:color w:val="5A7D3A"/>
          <w:sz w:val="18"/>
        </w:rPr>
        <w:t>https://pubmed.ncbi.nlm.nih.gov/42950173/</w:t>
      </w:r>
    </w:p>
    <w:p>
      <w:pPr>
        <w:pStyle w:val="Heading2"/>
      </w:pPr>
      <w:r>
        <w:t>Neuroendokrine Differenzierung als Escape-Mechanismus bei HER2+ Brustkrebs</w:t>
      </w:r>
    </w:p>
    <w:p>
      <w:r>
        <w:rPr>
          <w:i/>
          <w:color w:val="666666"/>
          <w:sz w:val="18"/>
        </w:rPr>
        <w:t>Würth R et al.  ·  Cancer Discov  ·  28.10.2026  ·  PMID 42949420</w:t>
      </w:r>
    </w:p>
    <w:p>
      <w:r>
        <w:t>Grundlagenforschung mit klinischer Implikation: Analyse von 22% der Fälle mit Therapieversagen unter HER2-Therapie, in denen neuroendokrine Differenzierung (NED) auftrat oder zunahm, überwiegend bei HER2-positivem Typ; Identifikation von NEUROD1 als Masterregulator und FGFR1-Abhängigkeit neuroendokriner Zellen.</w:t>
      </w:r>
    </w:p>
    <w:p>
      <w:r>
        <w:rPr>
          <w:b/>
        </w:rPr>
        <w:t xml:space="preserve">Ergebnis: </w:t>
      </w:r>
      <w:r>
        <w:t>NED führt zur EpCAM-Stummschaltung und amplifizierten HER2-Leveln. NCAM-positive Tumor-Zellen (Marker für NED) wurden bei Patienten detektiert, bei denen EpCAM-basierte Erkennung fehlgeschlagen war. FGFR1-Inhibition ist ein therapeutisches Ziel für diese Population. Der Mechanismus erklärt Resistenz gegen HER2-gerichtete Therapie und eröffnet Überwachungs- und Interventionswege.</w:t>
      </w:r>
    </w:p>
    <w:p>
      <w:r>
        <w:rPr>
          <w:b/>
          <w:sz w:val="19"/>
        </w:rPr>
        <w:t xml:space="preserve">Übertragbarkeit: </w:t>
      </w:r>
      <w:r>
        <w:rPr>
          <w:sz w:val="19"/>
        </w:rPr>
        <w:t>Deutsche Grundlagenforschung (DKFZ Heidelberg, NCT); klinische Translation noch offen.</w:t>
      </w:r>
    </w:p>
    <w:p>
      <w:r>
        <w:rPr>
          <w:color w:val="5A7D3A"/>
          <w:sz w:val="18"/>
        </w:rPr>
        <w:t>https://pubmed.ncbi.nlm.nih.gov/42949420/</w:t>
      </w:r>
    </w:p>
    <w:p>
      <w:pPr>
        <w:pStyle w:val="Heading2"/>
      </w:pPr>
      <w:r>
        <w:t>Prognostische Scores CPS+EG und Neo-Bioscore: Patientenbezogen ja, Trialendpunkt-prädiktiv nein</w:t>
      </w:r>
    </w:p>
    <w:p>
      <w:r>
        <w:rPr>
          <w:i/>
          <w:color w:val="666666"/>
          <w:sz w:val="18"/>
        </w:rPr>
        <w:t>Conforti F et al.  ·  Cancer Cell  ·  27.10.2026  ·  PMID 42945961</w:t>
      </w:r>
    </w:p>
    <w:p>
      <w:r>
        <w:t>Metaanalyse von 8.359 Patienten aus 9 neoadjuvanten Randomisierungsstudien der German Breast Group und AGO-B zur Surrogacy-Wertigkeit von CPS+EG und Neo-Bioscore für Langzeitergebnisse (DDFS, iDFS, OS).</w:t>
      </w:r>
    </w:p>
    <w:p>
      <w:r>
        <w:rPr>
          <w:b/>
        </w:rPr>
        <w:t xml:space="preserve">Ergebnis: </w:t>
      </w:r>
      <w:r>
        <w:t>Auf Patientenebene: Beide Scores signifikant assoziiert mit Ergebnissen. Auf Trial-Ebene: Schwache Assoziationen mit DDFS, iDFS und OS (R²=0,03–0,24 mit weiten Konfidenzintervallen). CPS+EG und Neo-Bioscore sind keine zuverlässigen Surrogatendpunkte für Treatmentbenefit in neoadjuvanten Trials, bleiben aber wertvoll für Restrisiko-Stratifizierung des Einzelpatienten nach neoadjuvanter Therapie.</w:t>
      </w:r>
    </w:p>
    <w:p>
      <w:r>
        <w:rPr>
          <w:b/>
          <w:sz w:val="19"/>
        </w:rPr>
        <w:t xml:space="preserve">Übertragbarkeit: </w:t>
      </w:r>
      <w:r>
        <w:rPr>
          <w:sz w:val="19"/>
        </w:rPr>
        <w:t>Deutsche und deutschsprachige Zentren (Datenquelle), Implikation für deutsches Studiendesign und Routineanwendung klar.</w:t>
      </w:r>
    </w:p>
    <w:p>
      <w:r>
        <w:rPr>
          <w:color w:val="5A7D3A"/>
          <w:sz w:val="18"/>
        </w:rPr>
        <w:t>https://pubmed.ncbi.nlm.nih.gov/42945961/</w:t>
      </w:r>
    </w:p>
    <w:p>
      <w:pPr>
        <w:pStyle w:val="Heading2"/>
      </w:pPr>
      <w:r>
        <w:t>Neoadjuvante Durvalumab + Chemotherapie in resezierbarem/grenzwertig resezierbarem NSCLC</w:t>
      </w:r>
    </w:p>
    <w:p>
      <w:r>
        <w:rPr>
          <w:i/>
          <w:color w:val="666666"/>
          <w:sz w:val="18"/>
        </w:rPr>
        <w:t>Reck M et al.  ·  Nat Med  ·  26.10.2026  ·  PMID 42934326</w:t>
      </w:r>
    </w:p>
    <w:p>
      <w:r>
        <w:t>Phase-2-Trial zur Machbarkeit eines multimodalen Ansatzes mit neoadjuvanter Durvalumab + Chemotherapie (AEGEAN-Schema) oder Chemoradiotherapie bei 142 Patienten mit resezierbarem oder grenzwertig resezierbarem Stadium-III-NSCLC, mit multidisziplinärer Tumorkonferenz-gesteuertem Ansatz.</w:t>
      </w:r>
    </w:p>
    <w:p>
      <w:r>
        <w:rPr>
          <w:b/>
        </w:rPr>
        <w:t xml:space="preserve">Ergebnis: </w:t>
      </w:r>
      <w:r>
        <w:t>Resektionsrate 74,6% [95%-KI 66,7–81,6] in Population mit &gt;33% grenzwertig resezierbarer Fälle. R0-Resektionsrate 96,2% [90,6–99,0]. 92,3% der Patienten erhielten Operation (n=106) oder CRT (n=25); 82,4% erhielten adjuvante/Konsolidierungs-Durvalumab. Während adjuvanter/Konsolidierungs-Phase: Grad-3/4-Nebenwirkungen 7,4% (Resektion) und 17,4% (CRT); Abbruch wegen Toxizität 8,5% und 13,0%. Vorläufig ermutigende Effektivität mit handhabbarem Sicherheitsprofil.</w:t>
      </w:r>
    </w:p>
    <w:p>
      <w:r>
        <w:rPr>
          <w:b/>
          <w:sz w:val="19"/>
        </w:rPr>
        <w:t xml:space="preserve">Übertragbarkeit: </w:t>
      </w:r>
      <w:r>
        <w:rPr>
          <w:sz w:val="19"/>
        </w:rPr>
        <w:t>Europa-beteiligt (Deutschland, Frankreich, Italien, Spanien, UK), deutsches Gesundheitssystem vergleichbar.</w:t>
      </w:r>
    </w:p>
    <w:p>
      <w:r>
        <w:rPr>
          <w:color w:val="5A7D3A"/>
          <w:sz w:val="18"/>
        </w:rPr>
        <w:t>https://pubmed.ncbi.nlm.nih.gov/42934326/</w:t>
      </w:r>
    </w:p>
    <w:p>
      <w:pPr>
        <w:pStyle w:val="Heading2"/>
      </w:pPr>
      <w:r>
        <w:t>Dostarlimab + Belrestotug ± Nelistotug in vorbehandeltem NSCLC: Sichere Dosis, geringe Aktivität</w:t>
      </w:r>
    </w:p>
    <w:p>
      <w:r>
        <w:rPr>
          <w:i/>
          <w:color w:val="666666"/>
          <w:sz w:val="18"/>
        </w:rPr>
        <w:t>Spigel DR et al.  ·  Clin Cancer Res  ·  26.10.2026  ·  PMID 42931848</w:t>
      </w:r>
    </w:p>
    <w:p>
      <w:r>
        <w:t>Open-label Phase-I/II-Safety-Studie zu Dostarlimab (anti-PD-1) plus Belrestotug (anti-TIGIT) ± Nelistotug (anti-CD96) in 62 vorbehandelten NSCLC-Patienten nach Progress unter anti-PD-(L)1 und Platin-Chemotherapie; primäre Endpunkte Sicherheit und Verträglichkeit.</w:t>
      </w:r>
    </w:p>
    <w:p>
      <w:r>
        <w:rPr>
          <w:b/>
        </w:rPr>
        <w:t xml:space="preserve">Ergebnis: </w:t>
      </w:r>
      <w:r>
        <w:t>Grad-≥3-Behandlungsnebenwirkungen: 17% (Arm 4 mit Belrestotug 200–1000 mg), 6% (Arm 5 mit Triplett), 14% (Arm 5-randomisiert). Wenige Abbrüche wegen Toxizität. Best Response: Progressive Erkrankung überwiegend, 1 partielle Remission (Arm 5-randomisiert, 210 mg); stabiler Zustand ≥12 Wochen bei 17–29% je nach Arm. Fazit: Gut verträglich aber keine klinisch bedeutsame Aktivität in vorbehandeltem NSCLC; weitere Forschung erforderlich.</w:t>
      </w:r>
    </w:p>
    <w:p>
      <w:r>
        <w:rPr>
          <w:b/>
          <w:sz w:val="19"/>
        </w:rPr>
        <w:t xml:space="preserve">Übertragbarkeit: </w:t>
      </w:r>
      <w:r>
        <w:rPr>
          <w:sz w:val="19"/>
        </w:rPr>
        <w:t>Internationale Studie, USA-Zentren dominant, begrenzte Übertragbarkeit auf deutsches System.</w:t>
      </w:r>
    </w:p>
    <w:p>
      <w:r>
        <w:rPr>
          <w:color w:val="5A7D3A"/>
          <w:sz w:val="18"/>
        </w:rPr>
        <w:t>https://pubmed.ncbi.nlm.nih.gov/42931848/</w:t>
      </w:r>
    </w:p>
    <w:p>
      <w:pPr>
        <w:pStyle w:val="Heading1"/>
      </w:pPr>
      <w:r>
        <w:t>Aufgenommen am 28.10.2026</w:t>
      </w:r>
    </w:p>
    <w:p>
      <w:pPr>
        <w:pStyle w:val="Heading2"/>
      </w:pPr>
      <w:r>
        <w:t>Sacituzumab Tirumotecan zeigt nachhaltigen OS-Vorteil beim triple-negativen Mammakarzinom</w:t>
      </w:r>
    </w:p>
    <w:p>
      <w:r>
        <w:rPr>
          <w:i/>
          <w:color w:val="666666"/>
          <w:sz w:val="18"/>
        </w:rPr>
        <w:t>Xu B et al.  ·  Ann Oncol  ·  31.12.2026  ·  PMID 42933638</w:t>
      </w:r>
    </w:p>
    <w:p>
      <w:r>
        <w:t>Phase-3-Studie OptiTROP-Breast01 zu Sacituzumab Tirumotecan versus Chemotherapie bei vorbehandeltem lokal rezidiviertem oder metastasiertem triple-negativem Mammakarzinom mit finaler OS-Analyse nach 29,4 Monaten Nachbeobachtung.</w:t>
      </w:r>
    </w:p>
    <w:p>
      <w:r>
        <w:rPr>
          <w:b/>
        </w:rPr>
        <w:t xml:space="preserve">Ergebnis: </w:t>
      </w:r>
      <w:r>
        <w:t>Median OS 14,7 Monate (Sacituzumab) versus 9,9 Monate (Chemotherapie; HR 0,60; p&lt;0,001). 30-Monats-OS-Rate 26,8% versus 13,2%. Größte Grade-3+ Nebenwirkungen: Neutropenie, WBC-Abfall, Anämie. Keine neuen Sicherheitssignale.</w:t>
      </w:r>
    </w:p>
    <w:p>
      <w:r>
        <w:rPr>
          <w:b/>
          <w:sz w:val="19"/>
        </w:rPr>
        <w:t xml:space="preserve">Übertragbarkeit: </w:t>
      </w:r>
      <w:r>
        <w:rPr>
          <w:sz w:val="19"/>
        </w:rPr>
        <w:t>Internationale Studie, europäische und chinesische Zentren, vergleichbare Standards</w:t>
      </w:r>
    </w:p>
    <w:p>
      <w:r>
        <w:rPr>
          <w:color w:val="5A7D3A"/>
          <w:sz w:val="18"/>
        </w:rPr>
        <w:t>https://pubmed.ncbi.nlm.nih.gov/42933638/</w:t>
      </w:r>
    </w:p>
    <w:p>
      <w:pPr>
        <w:pStyle w:val="Heading2"/>
      </w:pPr>
      <w:r>
        <w:t>Sacituzumab Tirumotecan verbessert Überleben bei vorbehandeltem Endometriumkarzinom</w:t>
      </w:r>
    </w:p>
    <w:p>
      <w:r>
        <w:rPr>
          <w:i/>
          <w:color w:val="666666"/>
          <w:sz w:val="18"/>
        </w:rPr>
        <w:t>Lorusso D et al.  ·  Lancet  ·  26.10.2026  ·  PMID 42933460</w:t>
      </w:r>
    </w:p>
    <w:p>
      <w:r>
        <w:t>Phase-3-Studie zu Sacituzumab Tirumotecan (TROP2-gerichtetes Antibody-Drug Conjugate) versus Chemotherapie nach Platin und Immuntherapie bei fortgeschrittenem/rezidiviertem Endometriumkarzinom.</w:t>
      </w:r>
    </w:p>
    <w:p>
      <w:r>
        <w:rPr>
          <w:b/>
        </w:rPr>
        <w:t xml:space="preserve">Ergebnis: </w:t>
      </w:r>
      <w:r>
        <w:t>Median PFS 7,2 Monate (Sacituzumab) versus 3,9 Monate (Kontrollgruppe; HR 0,59; p&lt;0,0001). Median OS 19,0 Monate versus 12,1 Monate (HR 0,68; p=0,0001). Grade 3+ Nebenwirkungen 69% versus 57%. Behandlungsbedingte Todesfälle &lt;1% in beiden Armen.</w:t>
      </w:r>
    </w:p>
    <w:p>
      <w:r>
        <w:rPr>
          <w:b/>
          <w:sz w:val="19"/>
        </w:rPr>
        <w:t xml:space="preserve">Übertragbarkeit: </w:t>
      </w:r>
      <w:r>
        <w:rPr>
          <w:sz w:val="19"/>
        </w:rPr>
        <w:t>Internationale Studie, europäische Zentren beteiligt, vergleichbare Versorgungsstrukturen</w:t>
      </w:r>
    </w:p>
    <w:p>
      <w:r>
        <w:rPr>
          <w:color w:val="5A7D3A"/>
          <w:sz w:val="18"/>
        </w:rPr>
        <w:t>https://pubmed.ncbi.nlm.nih.gov/42933460/</w:t>
      </w:r>
    </w:p>
    <w:p>
      <w:pPr>
        <w:pStyle w:val="Heading2"/>
      </w:pPr>
      <w:r>
        <w:t>Pembrolizumab allein überlegen gegenüber Chemotherapie bei MMR-defizientem Endometriumkarzinom</w:t>
      </w:r>
    </w:p>
    <w:p>
      <w:r>
        <w:rPr>
          <w:i/>
          <w:color w:val="666666"/>
          <w:sz w:val="18"/>
        </w:rPr>
        <w:t>Slomovitz BM et al.  ·  Lancet  ·  26.10.2026  ·  PMID 42933458</w:t>
      </w:r>
    </w:p>
    <w:p>
      <w:r>
        <w:t>Phase-3-Studie KEYNOTE-C93 zu First-Line-Pembrolizumab versus Carboplatin+Paclitaxel bei MMR-defizienten fortgeschrittenen oder rezidiviertem Endometriumkarzinom (Zwischenanalyse April 2026).</w:t>
      </w:r>
    </w:p>
    <w:p>
      <w:r>
        <w:rPr>
          <w:b/>
        </w:rPr>
        <w:t xml:space="preserve">Ergebnis: </w:t>
      </w:r>
      <w:r>
        <w:t>Median PFS 38,2 Monate (Pembrolizumab) versus 8,4 Monate (Chemotherapie; HR 0,57; p=0,0002). 12-Monats-PFS 67% versus 40%. Kriterium für OS-Signifikanz nicht erreicht in Zwischenanalyse. Grade 3+ Nebenwirkungen 18% versus 51%.</w:t>
      </w:r>
    </w:p>
    <w:p>
      <w:r>
        <w:rPr>
          <w:b/>
          <w:sz w:val="19"/>
        </w:rPr>
        <w:t xml:space="preserve">Übertragbarkeit: </w:t>
      </w:r>
      <w:r>
        <w:rPr>
          <w:sz w:val="19"/>
        </w:rPr>
        <w:t>Internationale Multizenterstudie, europäische und deutsche Zentren, vergleichbare Standards</w:t>
      </w:r>
    </w:p>
    <w:p>
      <w:r>
        <w:rPr>
          <w:color w:val="5A7D3A"/>
          <w:sz w:val="18"/>
        </w:rPr>
        <w:t>https://pubmed.ncbi.nlm.nih.gov/42933458/</w:t>
      </w:r>
    </w:p>
    <w:p>
      <w:pPr>
        <w:pStyle w:val="Heading2"/>
      </w:pPr>
      <w:r>
        <w:t>Tarlatamab plus Durvalumab verlängert Gesamtüberleben bei kleinzelligem Lungenkarzinom</w:t>
      </w:r>
    </w:p>
    <w:p>
      <w:r>
        <w:rPr>
          <w:i/>
          <w:color w:val="666666"/>
          <w:sz w:val="18"/>
        </w:rPr>
        <w:t>Pérol M et al.  ·  N Engl J Med  ·  24.10.2026  ·  PMID 42929702</w:t>
      </w:r>
    </w:p>
    <w:p>
      <w:r>
        <w:t>Phase-3-Studie zu Tarlatamab (DLL3-gerichteter Bispecific T-Cell Engager) plus Durvalumab versus Durvalumab allein als Erhaltungstherapie nach Erstlinien-Chemoimmunotherapie bei extensivem kleinzelligem Lungenkarzinom.</w:t>
      </w:r>
    </w:p>
    <w:p>
      <w:r>
        <w:rPr>
          <w:b/>
        </w:rPr>
        <w:t xml:space="preserve">Ergebnis: </w:t>
      </w:r>
      <w:r>
        <w:t>Median Overall Survival (OS) 21,1 Monate (Tarlatamab-Durvalumab) versus 12,7 Monate (Durvalumab; HR 0,42; p&lt;0,001). Median Progression-Free Survival (PFS) 7,4 versus 1,9 Monate (HR 0,34; p&lt;0,001). Grade 3/4 Nebenwirkungen 46,8% versus 40,6%, Zytokinfreisetzungssyndrom in etwa der Hälfte der Tarlatamab-Durvalumab-Gruppe, überwiegend Grad 1/2.</w:t>
      </w:r>
    </w:p>
    <w:p>
      <w:r>
        <w:rPr>
          <w:b/>
          <w:sz w:val="19"/>
        </w:rPr>
        <w:t xml:space="preserve">Übertragbarkeit: </w:t>
      </w:r>
      <w:r>
        <w:rPr>
          <w:sz w:val="19"/>
        </w:rPr>
        <w:t>USA-Studie, Zulassung in Deutschland möglich, aber von AMNOG-Bewertung abhängig</w:t>
      </w:r>
    </w:p>
    <w:p>
      <w:r>
        <w:rPr>
          <w:color w:val="5A7D3A"/>
          <w:sz w:val="18"/>
        </w:rPr>
        <w:t>https://pubmed.ncbi.nlm.nih.gov/42929702/</w:t>
      </w:r>
    </w:p>
    <w:p>
      <w:pPr>
        <w:pStyle w:val="Heading2"/>
      </w:pPr>
      <w:r>
        <w:t>Durvalumab+Enfortumab Vedotin verbessert Event-Free Survival bei Muskelinvasivem Urothelkarzinom</w:t>
      </w:r>
    </w:p>
    <w:p>
      <w:r>
        <w:rPr>
          <w:i/>
          <w:color w:val="666666"/>
          <w:sz w:val="18"/>
        </w:rPr>
        <w:t>Powles T et al.  ·  N Engl J Med  ·  24.10.2026  ·  PMID 42929692</w:t>
      </w:r>
    </w:p>
    <w:p>
      <w:r>
        <w:t>Phase-3-Studie VOLGA zu Durvalumab mit/ohne Tremelimumab plus Enfortumab Vedotin neoadjuvant gefolgt von Zystektomie und adjuvanter Durvalumab versus Chirurgie allein bei Patienten mit Muskelinvasivem Urothelkarzinom.</w:t>
      </w:r>
    </w:p>
    <w:p>
      <w:r>
        <w:rPr>
          <w:b/>
        </w:rPr>
        <w:t xml:space="preserve">Ergebnis: </w:t>
      </w:r>
      <w:r>
        <w:t>24-Monats-Event-Free-Survival (EFS) 63,5% (Durvalumab-Enfortumab) versus 45,1% (Kontrolle; HR 0,51; p&lt;0,001). 24-Monats-OS 78,4% versus 69,4% (HR 0,58; p=0,003). Grade 3+ Nebenwirkungen 71,1% (behandlungsbedingt 30,7%) versus 50,2%.</w:t>
      </w:r>
    </w:p>
    <w:p>
      <w:r>
        <w:rPr>
          <w:b/>
          <w:sz w:val="19"/>
        </w:rPr>
        <w:t xml:space="preserve">Übertragbarkeit: </w:t>
      </w:r>
      <w:r>
        <w:rPr>
          <w:sz w:val="19"/>
        </w:rPr>
        <w:t>Internationale Phase-3-Studie, europäische und deutsche Zentren, deutsche Versicherungssysteme</w:t>
      </w:r>
    </w:p>
    <w:p>
      <w:r>
        <w:rPr>
          <w:color w:val="5A7D3A"/>
          <w:sz w:val="18"/>
        </w:rPr>
        <w:t>https://pubmed.ncbi.nlm.nih.gov/42929692/</w:t>
      </w:r>
    </w:p>
    <w:p>
      <w:pPr>
        <w:pStyle w:val="Heading2"/>
      </w:pPr>
      <w:r>
        <w:t>ESMO-Leitlinien zu Diagnostik und Therapie des Nierenzellkarzinoms in Asien adaptiert</w:t>
      </w:r>
    </w:p>
    <w:p>
      <w:r>
        <w:rPr>
          <w:i/>
          <w:color w:val="666666"/>
          <w:sz w:val="18"/>
        </w:rPr>
        <w:t>Kanesvaran R et al.  ·  ESMO Open  ·  01.10.2026  ·  PMID 42914499</w:t>
      </w:r>
    </w:p>
    <w:p>
      <w:r>
        <w:t>Pan-asiatische Konsensusleitlinien adaptiert von den ESMO-Leitlinien Mai 2024 mit Harmonisierung von Diagnostik, Behandlung und Nachsorge des Nierenzellkarzinoms unter Berücksichtigung regionaler Unterschiede in Zulassung und Verfügbarkeit.</w:t>
      </w:r>
    </w:p>
    <w:p>
      <w:r>
        <w:rPr>
          <w:b/>
        </w:rPr>
        <w:t xml:space="preserve">Ergebnis: </w:t>
      </w:r>
      <w:r>
        <w:t>Konkrete Empfehlungen zu Staging, systemischer Therapie (Immuntherapie-Kombinationen als Standard in metastasiertem Krankheitsstadium), adjuvanter Pembrolizumab für High-Risk-Patienten. Fokus auf Harmonisierung trotz Disparitäten in Arzneimittelzugang und Erstattung zwischen Ländern.</w:t>
      </w:r>
    </w:p>
    <w:p>
      <w:r>
        <w:rPr>
          <w:b/>
          <w:sz w:val="19"/>
        </w:rPr>
        <w:t xml:space="preserve">Übertragbarkeit: </w:t>
      </w:r>
      <w:r>
        <w:rPr>
          <w:sz w:val="19"/>
        </w:rPr>
        <w:t>Leitlinienwerk, europäische und asiatische Experten, begrenzt auf Asien</w:t>
      </w:r>
    </w:p>
    <w:p>
      <w:r>
        <w:rPr>
          <w:color w:val="5A7D3A"/>
          <w:sz w:val="18"/>
        </w:rPr>
        <w:t>https://pubmed.ncbi.nlm.nih.gov/42914499/</w:t>
      </w:r>
    </w:p>
    <w:p>
      <w:pPr>
        <w:pStyle w:val="Heading1"/>
      </w:pPr>
      <w:r>
        <w:t>Aufgenommen am 27.10.2026</w:t>
      </w:r>
    </w:p>
    <w:p>
      <w:pPr>
        <w:pStyle w:val="Heading2"/>
      </w:pPr>
      <w:r>
        <w:t>Tarlatamab verlängert Gesamtüberleben bei kleinzelligem Lungenkarzinom deutlich</w:t>
      </w:r>
    </w:p>
    <w:p>
      <w:r>
        <w:rPr>
          <w:i/>
          <w:color w:val="666666"/>
          <w:sz w:val="18"/>
        </w:rPr>
        <w:t>Rudin CM et al.  ·  Ann Oncol  ·  31.12.2026  ·  PMID 42933636</w:t>
      </w:r>
    </w:p>
    <w:p>
      <w:r>
        <w:t>Randomisierte Phase-3-Studie zum Vergleich von Tarlatamab (bispezifischer T-Zell-Engager gegen DLL3 und CD3) mit Chemotherapie (Topotekan, Lurbinectedin oder Amrubicin) bei Patienten mit kleinzelligem Lungenkarzinom nach Platinchemotherapie-Versagen.</w:t>
      </w:r>
    </w:p>
    <w:p>
      <w:r>
        <w:rPr>
          <w:b/>
        </w:rPr>
        <w:t xml:space="preserve">Ergebnis: </w:t>
      </w:r>
      <w:r>
        <w:t>Median-OS 13,6 Monate (Tarlatamab) vs. 8,4 Monate (Chemotherapie), HR 0,68 (p&lt;0,001); 24-Monate-OS-Raten 30,3% vs. 14,9%; Median-PFS 4,2 vs. 3,2 Monate; objektive Ansprechrate 35,4% vs. 20,4%. Behandlungsbedingte Nebenwirkungen führten bei 3,2% (Tarlatamab) vs. 6,6% (Chemotherapie) zum Abbruch.</w:t>
      </w:r>
    </w:p>
    <w:p>
      <w:r>
        <w:rPr>
          <w:b/>
          <w:sz w:val="19"/>
        </w:rPr>
        <w:t xml:space="preserve">Übertragbarkeit: </w:t>
      </w:r>
      <w:r>
        <w:rPr>
          <w:sz w:val="19"/>
        </w:rPr>
        <w:t>Europäische Studie mit Zentren in Deutschland, Italien, Frankreich und UK; Ergebnisse unmittelbar auf deutsches System übertragbar.</w:t>
      </w:r>
    </w:p>
    <w:p>
      <w:r>
        <w:rPr>
          <w:color w:val="5A7D3A"/>
          <w:sz w:val="18"/>
        </w:rPr>
        <w:t>https://pubmed.ncbi.nlm.nih.gov/42933636/</w:t>
      </w:r>
    </w:p>
    <w:p>
      <w:pPr>
        <w:pStyle w:val="Heading2"/>
      </w:pPr>
      <w:r>
        <w:t>Heilungsintention bei metastasiertem Nasopharynxkarzinom - internationale Konsensus-Leitlinie</w:t>
      </w:r>
    </w:p>
    <w:p>
      <w:r>
        <w:rPr>
          <w:i/>
          <w:color w:val="666666"/>
          <w:sz w:val="18"/>
        </w:rPr>
        <w:t>Guo QJ et al.  ·  Lancet Oncol  ·  Nov. 2026  ·  PMID 42933448</w:t>
      </w:r>
    </w:p>
    <w:p>
      <w:r>
        <w:t>Internationale Konsensus-Leitlinie von 54 Experten aus 46 Zentren in 18 Ländern zur kurativen Behandlung von Patienten mit de-novo-metastasiertem Nasopharynxkarzinom, entwickelt durch systematische Evidenzbewertung.</w:t>
      </w:r>
    </w:p>
    <w:p>
      <w:r>
        <w:rPr>
          <w:b/>
        </w:rPr>
        <w:t xml:space="preserve">Ergebnis: </w:t>
      </w:r>
      <w:r>
        <w:t>32 Empfehlungen in 7 Domänen formuliert: 29 starke (≥80% Konsens oder hohe Evidenzqualität) und 3 konditionale (67-79% Konsens). Kernempfehlung: Kurative Therapie für medizinisch fitte Patienten mit maximal 3 Metastasen in ≤2 Organen; multimodale Behandlung (Immunochemotherapie, lokoregionale Radiotherapie, Metastasen-gerichtete Therapie, Erhaltungstherapie).</w:t>
      </w:r>
    </w:p>
    <w:p>
      <w:r>
        <w:rPr>
          <w:b/>
          <w:sz w:val="19"/>
        </w:rPr>
        <w:t xml:space="preserve">Übertragbarkeit: </w:t>
      </w:r>
      <w:r>
        <w:rPr>
          <w:sz w:val="19"/>
        </w:rPr>
        <w:t>International erarbeitete Leitlinie mit starker europäischer Beteiligung (Frankreich, Deutschland, UK, Schweiz, Niederlande, Italien); direkt auf deutsches Behandlungssystem anwendbar.</w:t>
      </w:r>
    </w:p>
    <w:p>
      <w:r>
        <w:rPr>
          <w:color w:val="5A7D3A"/>
          <w:sz w:val="18"/>
        </w:rPr>
        <w:t>https://pubmed.ncbi.nlm.nih.gov/42933448/</w:t>
      </w:r>
    </w:p>
    <w:p>
      <w:pPr>
        <w:pStyle w:val="Heading2"/>
      </w:pPr>
      <w:r>
        <w:t>CAR-T-Therapie verbessert ereignisfreies Überleben bei B-Zell-Lymphom stark</w:t>
      </w:r>
    </w:p>
    <w:p>
      <w:r>
        <w:rPr>
          <w:i/>
          <w:color w:val="666666"/>
          <w:sz w:val="18"/>
        </w:rPr>
        <w:t>Borchmann P et al.  ·  Lancet Oncol  ·  Nov. 2026  ·  PMID 42933440</w:t>
      </w:r>
    </w:p>
    <w:p>
      <w:r>
        <w:t>Randomisierte europäische Phase-2-Studie an 45 Zentren in 12 Ländern zum Vergleich von Zamtocabtagene autoleucel (bivirales anti-CD20/CD19 CAR-T) mit R-GemOx-Chemotherapie bei transplantationsineligiblen Patienten mit rezidiviertem/refraktärem Lymphom.</w:t>
      </w:r>
    </w:p>
    <w:p>
      <w:r>
        <w:rPr>
          <w:b/>
        </w:rPr>
        <w:t xml:space="preserve">Ergebnis: </w:t>
      </w:r>
      <w:r>
        <w:t>Ereignisfreies Überleben (primärer Endpunkt) 6,21 Monate (Zamto-cel) vs. 2,53 Monate (R-GemOx), HR 0,39 (p&lt;0,0001); Grade ≥3 Nebenwirkungen in 83% (Zamto-cel) vs. 86% (R-GemOx); Zytokin-Freisetzungssyndrom (CRS) in 8% (vorwiegend Grad 1-2), Neurotoxizität in 5%. Schwerwiegende Nebenwirkungen in 41% vs. 66%.</w:t>
      </w:r>
    </w:p>
    <w:p>
      <w:r>
        <w:rPr>
          <w:b/>
          <w:sz w:val="19"/>
        </w:rPr>
        <w:t xml:space="preserve">Übertragbarkeit: </w:t>
      </w:r>
      <w:r>
        <w:rPr>
          <w:sz w:val="19"/>
        </w:rPr>
        <w:t>Europäische Multizenterstudie (Deutschland, Niederlande, Spanien, Frankreich, Österreich, Belgien, Litauen); direkt auf deutsches Zentrumsystem übertragbar.</w:t>
      </w:r>
    </w:p>
    <w:p>
      <w:r>
        <w:rPr>
          <w:color w:val="5A7D3A"/>
          <w:sz w:val="18"/>
        </w:rPr>
        <w:t>https://pubmed.ncbi.nlm.nih.gov/42933440/</w:t>
      </w:r>
    </w:p>
    <w:p>
      <w:pPr>
        <w:pStyle w:val="Heading2"/>
      </w:pPr>
      <w:r>
        <w:t>Validierte Lebensqualitätsmessung für seltene Tumorerkrankungen etabliert</w:t>
      </w:r>
    </w:p>
    <w:p>
      <w:r>
        <w:rPr>
          <w:i/>
          <w:color w:val="666666"/>
          <w:sz w:val="18"/>
        </w:rPr>
        <w:t>Padilla CS et al.  ·  Eur J Cancer  ·  14.10.2026  ·  PMID 42933087</w:t>
      </w:r>
    </w:p>
    <w:p>
      <w:r>
        <w:t>Europäische Querschnittsstudie bei 397 Patienten mit 20 verschiedenen soliden seltenen Tumorerkrankungen zur Relevanzprüfung von EORTC-Lebensqualitätsfragebogen (QLQ-C30 und tumorspezifisch).</w:t>
      </w:r>
    </w:p>
    <w:p>
      <w:r>
        <w:rPr>
          <w:b/>
        </w:rPr>
        <w:t xml:space="preserve">Ergebnis: </w:t>
      </w:r>
      <w:r>
        <w:t>Alle QLQ-C30-Items erfüllten Relevanzschwelle (Mittelwert ≥1,5) über alle Diagnosen hinweg; häufigste Prioritäten: Gesamtgesundheit (37,05%), Lebensqualität (37,5%), Schmerz (34%), Interferenz Schmerz/Aktivitäten (28%), Sorge (26,4%). Tumorspezifische Tests variierten stark (QLQ-BIL21 sehr relevant, QLQ-VU34 nur einzelne Items relevant).</w:t>
      </w:r>
    </w:p>
    <w:p>
      <w:r>
        <w:rPr>
          <w:b/>
          <w:sz w:val="19"/>
        </w:rPr>
        <w:t xml:space="preserve">Übertragbarkeit: </w:t>
      </w:r>
      <w:r>
        <w:rPr>
          <w:sz w:val="19"/>
        </w:rPr>
        <w:t>Europäisch koordinierte Studie (Niederlande, Deutschland, Spanien, Italien, Türkei, China); Empfehlungen direkt nutzbar für deutsches Nachsorgeangebot in Zentren.</w:t>
      </w:r>
    </w:p>
    <w:p>
      <w:r>
        <w:rPr>
          <w:color w:val="5A7D3A"/>
          <w:sz w:val="18"/>
        </w:rPr>
        <w:t>https://pubmed.ncbi.nlm.nih.gov/42933087/</w:t>
      </w:r>
    </w:p>
    <w:p>
      <w:pPr>
        <w:pStyle w:val="Heading2"/>
      </w:pPr>
      <w:r>
        <w:t>HPV16-ctDNA als starker Prognosemarker und Überwachungsbiomarker</w:t>
      </w:r>
    </w:p>
    <w:p>
      <w:r>
        <w:rPr>
          <w:i/>
          <w:color w:val="666666"/>
          <w:sz w:val="18"/>
        </w:rPr>
        <w:t>Torrens L et al.  ·  Eur J Cancer  ·  05.10.2026  ·  PMID 42933086</w:t>
      </w:r>
    </w:p>
    <w:p>
      <w:r>
        <w:t>Internationale Multizenterstudie bei 173 HPV-positiven Oropharynxkarzinom-Patienten aus Süd- und Nordamerika sowie Europa zur Validierung von HPV16 zirkulärer Tumor-DNA (mittels digitaler PCR) für Prognose und post-therapeutische Überwachung.</w:t>
      </w:r>
    </w:p>
    <w:p>
      <w:r>
        <w:rPr>
          <w:b/>
        </w:rPr>
        <w:t xml:space="preserve">Ergebnis: </w:t>
      </w:r>
      <w:r>
        <w:t>Baseline-HPV16-ctDNA: 100% Spezifität, 73,4% Sensitivität; ctDNA-positive Patienten hatten signifikant schlechteres OS als ctDNA-negative; höhere ctDNA-Level (≥1082 Kopien/mL) unabhängig mit schlechterer OS assoziiert (HR 1,68, p=0,019); persistierende post-therapeutische ctDNA-Detektion mit Progression/Rezidiv in 6,3-23,0 Monaten verbunden.</w:t>
      </w:r>
    </w:p>
    <w:p>
      <w:r>
        <w:rPr>
          <w:b/>
          <w:sz w:val="19"/>
        </w:rPr>
        <w:t xml:space="preserve">Übertragbarkeit: </w:t>
      </w:r>
      <w:r>
        <w:rPr>
          <w:sz w:val="19"/>
        </w:rPr>
        <w:t>Multinational durchgeführt mit europäischen (Frankreich, Tschechien, Italien) und südamerikanischen Zentren; Methode auf deutsches Laborsystem anwendbar.</w:t>
      </w:r>
    </w:p>
    <w:p>
      <w:r>
        <w:rPr>
          <w:color w:val="5A7D3A"/>
          <w:sz w:val="18"/>
        </w:rPr>
        <w:t>https://pubmed.ncbi.nlm.nih.gov/42933086/</w:t>
      </w:r>
    </w:p>
    <w:p>
      <w:pPr>
        <w:pStyle w:val="Heading2"/>
      </w:pPr>
      <w:r>
        <w:t>Tumorkonferenz-Beteiligung verdoppelt Erfolg von Ernährungs- und Bewegungsberatung</w:t>
      </w:r>
    </w:p>
    <w:p>
      <w:r>
        <w:rPr>
          <w:i/>
          <w:color w:val="666666"/>
          <w:sz w:val="18"/>
        </w:rPr>
        <w:t>Eichler M et al.  ·  JCO Oncol Pract  ·  26.10.2026  ·  PMID 42932823</w:t>
      </w:r>
    </w:p>
    <w:p>
      <w:r>
        <w:t>Deutsche Einzelzenter-Studie (Nationales Zentrum für Tumorerkrankungen Dresden) mit retrospektiver Analyse von 1.256 onkologischen Patienten zur Umsetzung strukturierter Ernährungs- und Bewegungsberatung via elektronische PRO-Erfassung und Tumorkonferenz-Koordination.</w:t>
      </w:r>
    </w:p>
    <w:p>
      <w:r>
        <w:rPr>
          <w:b/>
        </w:rPr>
        <w:t xml:space="preserve">Ergebnis: </w:t>
      </w:r>
      <w:r>
        <w:t>Ernährungsscreening identifizierte Risiko bei 62,2% (664/1.068), Bewegungsscreening bei 84,4% (1.046/1.240); Beratungsangebot nur 27,6% (Ernährung) bzw. 52,9% (Bewegung) der Gefährdeten; Abschluss-Rate 13,6% (Ernährung) bzw. 11,2% (Bewegung) unter den Angebotenen. Tumorkonferenz-Beteiligung unabhängig assoziiert mit höherer Abschlussquote (OR 2,3 Ernährung, OR 2,8 Bewegung).</w:t>
      </w:r>
    </w:p>
    <w:p>
      <w:r>
        <w:rPr>
          <w:b/>
          <w:sz w:val="19"/>
        </w:rPr>
        <w:t xml:space="preserve">Übertragbarkeit: </w:t>
      </w:r>
      <w:r>
        <w:rPr>
          <w:sz w:val="19"/>
        </w:rPr>
        <w:t>Deutsche Klinikdaten, unmittelbar auf deutsches Versorgungssystem anwendbar.</w:t>
      </w:r>
    </w:p>
    <w:p>
      <w:r>
        <w:rPr>
          <w:color w:val="5A7D3A"/>
          <w:sz w:val="18"/>
        </w:rPr>
        <w:t>https://pubmed.ncbi.nlm.nih.gov/42932823/</w:t>
      </w:r>
    </w:p>
    <w:p>
      <w:pPr>
        <w:pStyle w:val="Heading1"/>
      </w:pPr>
      <w:r>
        <w:t>Aufgenommen am 26.10.2026</w:t>
      </w:r>
    </w:p>
    <w:p>
      <w:pPr>
        <w:pStyle w:val="Heading2"/>
      </w:pPr>
      <w:r>
        <w:t>Dostarlimab-Monotherapie erreicht 68% klinische Komplettremission beim dMMR/MSI-H-Rektumkarzinom</w:t>
      </w:r>
    </w:p>
    <w:p>
      <w:r>
        <w:rPr>
          <w:i/>
          <w:color w:val="666666"/>
          <w:sz w:val="18"/>
        </w:rPr>
        <w:t>Cercek A et al.  ·  Ann Oncol  ·  25.10.2026  ·  PMID 42927858</w:t>
      </w:r>
    </w:p>
    <w:p>
      <w:r>
        <w:t>Multizentrisches Phase-III-Registrierungsstudium zur neoadjuvanten Dostarlimab-Monotherapie bei 154 Patienten mit lokal fortgeschrittenem, dMMR/MSI-H-Rektumkarzinom statt Standard-Multimodaltherapie.</w:t>
      </w:r>
    </w:p>
    <w:p>
      <w:r>
        <w:rPr>
          <w:b/>
        </w:rPr>
        <w:t xml:space="preserve">Ergebnis: </w:t>
      </w:r>
      <w:r>
        <w:t>68% der auswertbaren Patienten (144 mit ≥12 Monaten Follow-up) erreichten anhaltende klinische Komplettremission (cCR12), 76% die kombinierte Rate cCR12+pathologische CR. 98% behielten die cCR über ≥12 Monate. Keine Rezidive bei Patienten in cCR oder pCR. Grad-≥3 immunvermittelte Nebenwirkungen bei 3%. Patientenrelevante Outcomes zeigten bedeutsame Verbesserungen.</w:t>
      </w:r>
    </w:p>
    <w:p>
      <w:r>
        <w:rPr>
          <w:b/>
          <w:sz w:val="19"/>
        </w:rPr>
        <w:t xml:space="preserve">Übertragbarkeit: </w:t>
      </w:r>
      <w:r>
        <w:rPr>
          <w:sz w:val="19"/>
        </w:rPr>
        <w:t>Multinationale Studie (inkl. Deutschland), vergleichbar EU-Zulassungsprozess; Ergebnis kann Leitlinienstandards bei dMMR/MSI-H-LARC verändern.</w:t>
      </w:r>
    </w:p>
    <w:p>
      <w:r>
        <w:rPr>
          <w:color w:val="5A7D3A"/>
          <w:sz w:val="18"/>
        </w:rPr>
        <w:t>https://pubmed.ncbi.nlm.nih.gov/42927858/</w:t>
      </w:r>
    </w:p>
    <w:p>
      <w:pPr>
        <w:pStyle w:val="Heading2"/>
      </w:pPr>
      <w:r>
        <w:t>Pembrolizumab plus Chemotherapie verlängert PFS vs. Monotherapie bei PD-L1-hohem NSCLC</w:t>
      </w:r>
    </w:p>
    <w:p>
      <w:r>
        <w:rPr>
          <w:i/>
          <w:color w:val="666666"/>
          <w:sz w:val="18"/>
        </w:rPr>
        <w:t>Descourt R et al.  ·  Ann Oncol  ·  25.10.2026  ·  PMID 42927854</w:t>
      </w:r>
    </w:p>
    <w:p>
      <w:r>
        <w:t>Französische multizentrische Phase-III-Randomisierungsstudie (321 Patienten) zu Pembrolizumab mit oder ohne platinbasierter Chemotherapie als Erstlinie bei fortgeschrittenem NSCLC mit PD-L1≥50%.</w:t>
      </w:r>
    </w:p>
    <w:p>
      <w:r>
        <w:rPr>
          <w:b/>
        </w:rPr>
        <w:t xml:space="preserve">Ergebnis: </w:t>
      </w:r>
      <w:r>
        <w:t>Median-PFS signifikant längerwirkend mit Kombinationstherapie: 16,1 Monate vs. 6,9 Monate (HR 0,56; 95% KI 0,43–0,74; p&lt;0,001). Median-OS 50,2 vs. 29,9 Monate (HR 0,77; 95% KI 0,56–1,05, nicht signifikant). Grad-≥3-Therapienebenwirkungen 54% vs. 19%; Grad-≥3 immunvermittelte Nebenwirkungen 13% in beiden Armen.</w:t>
      </w:r>
    </w:p>
    <w:p>
      <w:r>
        <w:rPr>
          <w:b/>
          <w:sz w:val="19"/>
        </w:rPr>
        <w:t xml:space="preserve">Übertragbarkeit: </w:t>
      </w:r>
      <w:r>
        <w:rPr>
          <w:sz w:val="19"/>
        </w:rPr>
        <w:t>Französisches Gesundheitssystem mit Dokumentation vergleichbar Deutschland; Ergebnis praxisverändernd für Firstline-NSCLC-Strategie.</w:t>
      </w:r>
    </w:p>
    <w:p>
      <w:r>
        <w:rPr>
          <w:color w:val="5A7D3A"/>
          <w:sz w:val="18"/>
        </w:rPr>
        <w:t>https://pubmed.ncbi.nlm.nih.gov/42927854/</w:t>
      </w:r>
    </w:p>
    <w:p>
      <w:pPr>
        <w:pStyle w:val="Heading2"/>
      </w:pPr>
      <w:r>
        <w:t>GDF-15-Blockade mit Nivolumab erhöht pathologische CR-Rate beim Blasenkarzinom</w:t>
      </w:r>
    </w:p>
    <w:p>
      <w:r>
        <w:rPr>
          <w:i/>
          <w:color w:val="666666"/>
          <w:sz w:val="18"/>
        </w:rPr>
        <w:t>Necchi A et al.  ·  Nat Med  ·  24.10.2026  ·  PMID 42926233</w:t>
      </w:r>
    </w:p>
    <w:p>
      <w:r>
        <w:t>Explorative, stratifizierte, placebokontrollierte Phase-2a-Studie (31 Patienten) zur Sicherheit und Wirksamkeit von GDF-15-Neutralisierung (Visugromab) plus Nivolumab neoadjuvant bei muskelinvasivem Blasenkarzinom.</w:t>
      </w:r>
    </w:p>
    <w:p>
      <w:r>
        <w:rPr>
          <w:b/>
        </w:rPr>
        <w:t xml:space="preserve">Ergebnis: </w:t>
      </w:r>
      <w:r>
        <w:t>pCR-Rate: 33% (N+V, 5/15) vs. 8% (N+P, 1/13); Major Pathologic Response 60% vs. 23%; radiographisches Gesamtansprechrate 60% vs. 15%. Responsen mit N+V assoziiert mit höheren CD8+-T-Zelldichten unabhängig von CPS und Baseline-GDF-15. Grad-3–4-Therapienebenwirkungen bei 13% (N+V) vs. 20% (N+P), keine therapiebedingten Operationsverzögerungen.</w:t>
      </w:r>
    </w:p>
    <w:p>
      <w:r>
        <w:rPr>
          <w:b/>
          <w:sz w:val="19"/>
        </w:rPr>
        <w:t xml:space="preserve">Übertragbarkeit: </w:t>
      </w:r>
      <w:r>
        <w:rPr>
          <w:sz w:val="19"/>
        </w:rPr>
        <w:t>Italienische/deutsche akademische Kooperation; explorative Phase-2a mit klarem Mechanismus-Befund, Basis für weitere Studien in Europa.</w:t>
      </w:r>
    </w:p>
    <w:p>
      <w:r>
        <w:rPr>
          <w:color w:val="5A7D3A"/>
          <w:sz w:val="18"/>
        </w:rPr>
        <w:t>https://pubmed.ncbi.nlm.nih.gov/42926233/</w:t>
      </w:r>
    </w:p>
    <w:p>
      <w:pPr>
        <w:pStyle w:val="Heading2"/>
      </w:pPr>
      <w:r>
        <w:t>Pembrolizumab+Chemotherapie verlängert PFS, nicht OS bei HR+/HER2−/PD-L1+ Brustkrebs</w:t>
      </w:r>
    </w:p>
    <w:p>
      <w:r>
        <w:rPr>
          <w:i/>
          <w:color w:val="666666"/>
          <w:sz w:val="18"/>
        </w:rPr>
        <w:t>Rugo HS et al.  ·  Ann Oncol  ·  24.10.2026  ·  PMID 42926111</w:t>
      </w:r>
    </w:p>
    <w:p>
      <w:r>
        <w:t>Multinationale Phase-III-Randomisierungsstudie (342 Teilnehmer) zu Pembrolizumab plus Chemotherapie vs. Placebo plus Chemotherapie bei fortgeschrittenem HR+/HER2−-Brustkrebs mit PD-L1-Positivität (CPS≥1).</w:t>
      </w:r>
    </w:p>
    <w:p>
      <w:r>
        <w:rPr>
          <w:b/>
        </w:rPr>
        <w:t xml:space="preserve">Ergebnis: </w:t>
      </w:r>
      <w:r>
        <w:t>Interim-Analyse (Median-Follow-up 29,1 Monate): PFS signifikant verlängert mit Pembrolizumab+Chemo: 6,7 vs. 6,0 Monate (HR 0,74; 95% KI 0,58–0,95; p=0,0089). Final Analysis (34,9 Monate): OS 21,0 vs. 22,2 Monate (HR 1,04; 95% KI 0,81–1,33; p=0,6185), nicht signifikant. CPS≥10-Subgruppe numerisches PFS-Vorteil (HR 0,59). Grad-≥3-Therapienebenwirkungen 38% vs. 33%.</w:t>
      </w:r>
    </w:p>
    <w:p>
      <w:r>
        <w:rPr>
          <w:b/>
          <w:sz w:val="19"/>
        </w:rPr>
        <w:t xml:space="preserve">Übertragbarkeit: </w:t>
      </w:r>
      <w:r>
        <w:rPr>
          <w:sz w:val="19"/>
        </w:rPr>
        <w:t>Internationale Studie mit europäischen Zentren; PFS-Vorteil ohne OS-Vorteil begrenzt praxisverändernd.</w:t>
      </w:r>
    </w:p>
    <w:p>
      <w:r>
        <w:rPr>
          <w:color w:val="5A7D3A"/>
          <w:sz w:val="18"/>
        </w:rPr>
        <w:t>https://pubmed.ncbi.nlm.nih.gov/42926111/</w:t>
      </w:r>
    </w:p>
    <w:p>
      <w:pPr>
        <w:pStyle w:val="Heading2"/>
      </w:pPr>
      <w:r>
        <w:t>Adjuvantes Cisplatin-Gemcitabin nicht überlegen Capecitabin bei Gallengangskarzinom</w:t>
      </w:r>
    </w:p>
    <w:p>
      <w:r>
        <w:rPr>
          <w:i/>
          <w:color w:val="666666"/>
          <w:sz w:val="18"/>
        </w:rPr>
        <w:t>Stein A et al.  ·  Ann Oncol  ·  24.10.2026  ·  PMID 42926109</w:t>
      </w:r>
    </w:p>
    <w:p>
      <w:r>
        <w:t>Internationale, randomisierte Phase-III-Studie (591 Patienten aus 8 Ländern) zu adjuvantem Cisplatin-Gemcitabin vs. Capecitabin nach R0-Resektion von Cholangiokarziom oder muskelinvasivem Gallenblasenkrebs.</w:t>
      </w:r>
    </w:p>
    <w:p>
      <w:r>
        <w:rPr>
          <w:b/>
        </w:rPr>
        <w:t xml:space="preserve">Ergebnis: </w:t>
      </w:r>
      <w:r>
        <w:t>Median-DFS: 25,7 Monate (CisGem) vs. 17,9 Monate (Capecitabin), log-rank p=0,097 (nicht signifikant). RMST-Analyse (3 Jahre): 2,6 zusätzliche DFS-Monate mit CisGem (95% KI 0,6–4,68; p=0,011), kein signifikanter OS-Vorteil (58,1 vs. 48,2 Monate; p=0,076). Höhere SAE-Rate mit CisGem (130 vs. 113), höhere Gesamtnebenwirkungen (74,7% vs. 69,5%).</w:t>
      </w:r>
    </w:p>
    <w:p>
      <w:r>
        <w:rPr>
          <w:b/>
          <w:sz w:val="19"/>
        </w:rPr>
        <w:t xml:space="preserve">Übertragbarkeit: </w:t>
      </w:r>
      <w:r>
        <w:rPr>
          <w:sz w:val="19"/>
        </w:rPr>
        <w:t>Deutsches Kooperationszentrum (AIO), vergleichbar deutsches Versicherungssystem; Ergebnis gegen Intensivierung in Adjuvans relevant.</w:t>
      </w:r>
    </w:p>
    <w:p>
      <w:r>
        <w:rPr>
          <w:color w:val="5A7D3A"/>
          <w:sz w:val="18"/>
        </w:rPr>
        <w:t>https://pubmed.ncbi.nlm.nih.gov/42926109/</w:t>
      </w:r>
    </w:p>
    <w:p>
      <w:pPr>
        <w:pStyle w:val="Heading2"/>
      </w:pPr>
      <w:r>
        <w:t>Nivolumab+Ipilimumab zeigt signifikanten OS-Vorteil gegen Nivolumab bei MSI-H/dMMR-mCRC</w:t>
      </w:r>
    </w:p>
    <w:p>
      <w:r>
        <w:rPr>
          <w:i/>
          <w:color w:val="666666"/>
          <w:sz w:val="18"/>
        </w:rPr>
        <w:t>Lonardi S et al.  ·  Ann Oncol  ·  24.10.2026  ·  PMID 42926106</w:t>
      </w:r>
    </w:p>
    <w:p>
      <w:r>
        <w:t>Phase-III-Registrierungsstudie (839 Patienten randomisiert, 532 zentralbestätigt MSI-H/dMMR) zu NIVO+IPI vs. NIVO (alle Linien) und vs. Chemotherapie (1L) bei metastasierendem MSI-H/dMMR-Kolorektalkarzinom.</w:t>
      </w:r>
    </w:p>
    <w:p>
      <w:r>
        <w:rPr>
          <w:b/>
        </w:rPr>
        <w:t xml:space="preserve">Ergebnis: </w:t>
      </w:r>
      <w:r>
        <w:t>Median-Follow-up 68,0 Monate über alle Linien. NIVO+IPI zeigte signifikanten OS-Vorteil vs. NIVO (alle Linien: HR 0,61; 95% KI 0,46–0,82; p=0,0009) und vs. Chemo (1L: HR 0,37; 95% KI 0,24–0,57; p&lt;0,0001). Klinisch bedeutsamer OS-Vorteil 1L NIVO+IPI vs. NIVO (HR 0,66; p=0,0432), Signifikanzschwelle nicht erreicht. Grad-3/4-Therapienebenwirkungen 22% (NIVO+IPI) vs. 14% (NIVO).</w:t>
      </w:r>
    </w:p>
    <w:p>
      <w:r>
        <w:rPr>
          <w:b/>
          <w:sz w:val="19"/>
        </w:rPr>
        <w:t xml:space="preserve">Übertragbarkeit: </w:t>
      </w:r>
      <w:r>
        <w:rPr>
          <w:sz w:val="19"/>
        </w:rPr>
        <w:t>Multinationale Studie mit europäischen Zentren (Italien, Spanien, Frankreich); Ergebnis bestätigt Standard-of-Care für MSI-H/dMMR-mCRC europaweit.</w:t>
      </w:r>
    </w:p>
    <w:p>
      <w:r>
        <w:rPr>
          <w:color w:val="5A7D3A"/>
          <w:sz w:val="18"/>
        </w:rPr>
        <w:t>https://pubmed.ncbi.nlm.nih.gov/42926106/</w:t>
      </w:r>
    </w:p>
    <w:p>
      <w:pPr>
        <w:pStyle w:val="Heading1"/>
      </w:pPr>
      <w:r>
        <w:t>Aufgenommen am 25.10.2026</w:t>
      </w:r>
    </w:p>
    <w:p>
      <w:pPr>
        <w:pStyle w:val="Heading2"/>
      </w:pPr>
      <w:r>
        <w:t>mKRAS-Impfstoff Camupepimut beim PDAC: DFS-Vorteil nur in Subgruppe, Biomarker vielversprechend</w:t>
      </w:r>
    </w:p>
    <w:p>
      <w:r>
        <w:rPr>
          <w:i/>
          <w:color w:val="666666"/>
          <w:sz w:val="18"/>
        </w:rPr>
        <w:t>George B et al.  ·  Nat Med  ·  23.10.2026  ·  PMID 42919966</w:t>
      </w:r>
    </w:p>
    <w:p>
      <w:r>
        <w:t>Phase-2-Randomisierungsstudie zum personalisierten mKRAS-spezifischen Impfstoff (ELI-002 7P/Camupepimut) bei Patienten mit KRAS-mutiertem PDAC (Stadium I–III) ohne Rezidiv innerhalb 6 Monaten nach Standardtherapie.</w:t>
      </w:r>
    </w:p>
    <w:p>
      <w:r>
        <w:rPr>
          <w:b/>
        </w:rPr>
        <w:t xml:space="preserve">Ergebnis: </w:t>
      </w:r>
      <w:r>
        <w:t>Primäres Ziel (DFS) nicht erreicht: medianes DFS 23,8 vs. 21,2 Monate (HR 0,85; p=0,53). Numerischer DFS-Vorteil 6-Monate 75,7 % vs. 61,7 % (HR 0,55; p=0,056). Post-hoc-Analyse: Camupepimut korrelierte mit verbessertem DFS (adjust. HR 0,47; p=0,0086). mKRAS-spezifische T-Zell-Response 98,9 %; Response &gt;9,17-fach über Baseline (82,2 %) mit verbessertem DFS (HR 0,22; p&lt;0,0001). Sicherheit vergleichbar zur Kontrolle.</w:t>
      </w:r>
    </w:p>
    <w:p>
      <w:r>
        <w:rPr>
          <w:b/>
          <w:sz w:val="19"/>
        </w:rPr>
        <w:t xml:space="preserve">Übertragbarkeit: </w:t>
      </w:r>
      <w:r>
        <w:rPr>
          <w:sz w:val="19"/>
        </w:rPr>
        <w:t>Multizentrische USA-Studie, aber Vakzin-Immunogenität-Befund übertragbar; KRAS-Mutationen global stratifizierbar; ermutigendes Signal für Phase-3-Validierung.</w:t>
      </w:r>
    </w:p>
    <w:p>
      <w:r>
        <w:rPr>
          <w:color w:val="5A7D3A"/>
          <w:sz w:val="18"/>
        </w:rPr>
        <w:t>https://pubmed.ncbi.nlm.nih.gov/42919966/</w:t>
      </w:r>
    </w:p>
    <w:p>
      <w:pPr>
        <w:pStyle w:val="Heading2"/>
      </w:pPr>
      <w:r>
        <w:t>Relatlimab + Nivolumab + Chemotherapie beim NSCLC: Subgruppen-Trend ohne Primärziel-Erfolg</w:t>
      </w:r>
    </w:p>
    <w:p>
      <w:r>
        <w:rPr>
          <w:i/>
          <w:color w:val="666666"/>
          <w:sz w:val="18"/>
        </w:rPr>
        <w:t>Girard N et al.  ·  Ann Oncol  ·  23.10.2026  ·  PMID 42918419</w:t>
      </w:r>
    </w:p>
    <w:p>
      <w:r>
        <w:t>Phase-II-Studie zur Kombination von Immune-Checkpoint-Inhibitoren (Nivolumab und Relatlimab) mit Chemotherapie versus Chemotherapie allein beim metastasierten oder rezidivierten NSCLC.</w:t>
      </w:r>
    </w:p>
    <w:p>
      <w:r>
        <w:rPr>
          <w:b/>
        </w:rPr>
        <w:t xml:space="preserve">Ergebnis: </w:t>
      </w:r>
      <w:r>
        <w:t>Primäres Ziel (Ansprechrate) nicht erreicht: 51,3 % vs. 45,0 % (p nicht signifikant). PFS-Hazard Ratio 0,89 (90%-CI 0,72–1,09). In der Subgruppe PD-L1 ≥1 % mit nichtsquamöser Histologie zeigten sich günstige Trends (ORR 58,0 % vs. 39,6 %; PFS HR 0,68; potenzieller OS-Vorteil HR 0,60). Sicherheitsprofil vertretbar.</w:t>
      </w:r>
    </w:p>
    <w:p>
      <w:r>
        <w:rPr>
          <w:b/>
          <w:sz w:val="19"/>
        </w:rPr>
        <w:t xml:space="preserve">Übertragbarkeit: </w:t>
      </w:r>
      <w:r>
        <w:rPr>
          <w:sz w:val="19"/>
        </w:rPr>
        <w:t>Multinationale Phase-II-Studie, europäische Sites inkludiert; Biomarker-Stratifizierung übertragbar auf deutsche Tumorkonferenzen.</w:t>
      </w:r>
    </w:p>
    <w:p>
      <w:r>
        <w:rPr>
          <w:color w:val="5A7D3A"/>
          <w:sz w:val="18"/>
        </w:rPr>
        <w:t>https://pubmed.ncbi.nlm.nih.gov/42918419/</w:t>
      </w:r>
    </w:p>
    <w:p>
      <w:pPr>
        <w:pStyle w:val="Heading2"/>
      </w:pPr>
      <w:r>
        <w:t>SBRT + Chemotherapie vs. Chemotherapie beim hochrisiko-PDAC: 20,2 % vs. 52,0 % lokale Rezidive</w:t>
      </w:r>
    </w:p>
    <w:p>
      <w:r>
        <w:rPr>
          <w:i/>
          <w:color w:val="666666"/>
          <w:sz w:val="18"/>
        </w:rPr>
        <w:t>Oar A et al.  ·  Lancet Oncol  ·  23.10.2026  ·  PMID 42914998</w:t>
      </w:r>
    </w:p>
    <w:p>
      <w:r>
        <w:t>Phase-2-Randomisierungs-Studie aus Australien/Neuseeland zur Zugabe von stereotaktischer Bestrahlung (40 Gy/5 Fraktionen) zu neoadjuvanter Chemotherapie beim lokalisierten PDAC mit Hochrisiko-Merkmalen.</w:t>
      </w:r>
    </w:p>
    <w:p>
      <w:r>
        <w:rPr>
          <w:b/>
        </w:rPr>
        <w:t xml:space="preserve">Ergebnis: </w:t>
      </w:r>
      <w:r>
        <w:t>12-Monats-Lokoregionalrezidiv 20,2 % (95%-CI 9,9–33,1) mit SBRT vs. 52,0 % (30,3–69,9) ohne SBRT (Hazard Ratio 0,44; p=0,022). Gesamtüberleben und PFS zeigten keinen Unterschied. Grad-3+-Nebenwirkungen 70 % vs. 64 % (p=0,27). Zwei behandlungsbedingte ernste unerwünschte Ereignisse unter SBRT.</w:t>
      </w:r>
    </w:p>
    <w:p>
      <w:r>
        <w:rPr>
          <w:b/>
          <w:sz w:val="19"/>
        </w:rPr>
        <w:t xml:space="preserve">Übertragbarkeit: </w:t>
      </w:r>
      <w:r>
        <w:rPr>
          <w:sz w:val="19"/>
        </w:rPr>
        <w:t>Australische/Neuseeländische Gesundheitssysteme; vergleichbar mit europäischem Versorgungsstandard; Transfer zu MASTERPLAN-ähnlichen deutschen Zentren möglich.</w:t>
      </w:r>
    </w:p>
    <w:p>
      <w:r>
        <w:rPr>
          <w:color w:val="5A7D3A"/>
          <w:sz w:val="18"/>
        </w:rPr>
        <w:t>https://pubmed.ncbi.nlm.nih.gov/42914998/</w:t>
      </w:r>
    </w:p>
    <w:p>
      <w:pPr>
        <w:pStyle w:val="Heading2"/>
      </w:pPr>
      <w:r>
        <w:t>Cervixkarzinom: ESMO-Leitlinie 2026 für Diagnostik, Therapie und Nachsorge</w:t>
      </w:r>
    </w:p>
    <w:p>
      <w:r>
        <w:rPr>
          <w:i/>
          <w:color w:val="666666"/>
          <w:sz w:val="18"/>
        </w:rPr>
        <w:t>Lorusso D et al.  ·  ESMO Open  ·  24.09.2026  ·  PMID 42914498</w:t>
      </w:r>
    </w:p>
    <w:p>
      <w:r>
        <w:t>Aktualisierte klinische Leitlinie der Europäischen Gesellschaft für Medizinische Onkologie zu Diagnose, Behandlung und Nachsorge des Cervixkarzinoms mit internationaler Expertenkonsensus.</w:t>
      </w:r>
    </w:p>
    <w:p>
      <w:r>
        <w:rPr>
          <w:b/>
        </w:rPr>
        <w:t xml:space="preserve">Ergebnis: </w:t>
      </w:r>
      <w:r>
        <w:t>Leitlinie mit consensus-basierten Empfehlungen zur Diagnostik (HPV-Screening, Konisation), Therapieoptionen nach Risikostratifizierung (Stadium, Histologie), Strahlentherapie-Standards und Nachsorge. Besondere Beachtung: Management früher Stadien, neoadjuvante vs. adjuvante Chemotherapie, Rolle von Immuntherapie in fortgeschrittenen Stadien.</w:t>
      </w:r>
    </w:p>
    <w:p>
      <w:r>
        <w:rPr>
          <w:b/>
          <w:sz w:val="19"/>
        </w:rPr>
        <w:t xml:space="preserve">Übertragbarkeit: </w:t>
      </w:r>
      <w:r>
        <w:rPr>
          <w:sz w:val="19"/>
        </w:rPr>
        <w:t>ESMO-Leitlinie mit europäischem Konsens; direkt übertragbar auf deutsche Leitlinienprozesse und Zertifizierungsvorgaben.</w:t>
      </w:r>
    </w:p>
    <w:p>
      <w:r>
        <w:rPr>
          <w:color w:val="5A7D3A"/>
          <w:sz w:val="18"/>
        </w:rPr>
        <w:t>https://pubmed.ncbi.nlm.nih.gov/42914498/</w:t>
      </w:r>
    </w:p>
    <w:p>
      <w:pPr>
        <w:pStyle w:val="Heading2"/>
      </w:pPr>
      <w:r>
        <w:t>STAT2-Intronretention korreliert mit Immuntherapie-Response bei Lungenadenokarzinom</w:t>
      </w:r>
    </w:p>
    <w:p>
      <w:r>
        <w:rPr>
          <w:i/>
          <w:color w:val="666666"/>
          <w:sz w:val="18"/>
        </w:rPr>
        <w:t>Englander RP et al.  ·  Science  ·  22.10.2026  ·  PMID 42912151</w:t>
      </w:r>
    </w:p>
    <w:p>
      <w:r>
        <w:t>Grundlagenforschung zur alternativen RNA-Spleiße: Long-read-Sequenzierung von Lungenadenokarzinomen identifiziert über 149.000 volle mRNA-Isoformen, von denen viele in Immungenen liegen; funktionale Charakterisierung von STAT2-Intronretention als Regulator der Interferon-Antwort und Prädiktor für PD-L1-Immuntherapie-Response.</w:t>
      </w:r>
    </w:p>
    <w:p>
      <w:r>
        <w:rPr>
          <w:b/>
        </w:rPr>
        <w:t xml:space="preserve">Ergebnis: </w:t>
      </w:r>
      <w:r>
        <w:t>Intronretention im STAT2-Gen erzeugt veränderte Protein-Isoformen, die Immunsignalisierung und Interferon-Antworten regulieren. STAT2-spezifische Intronretention korreliert mit Patientenüberleben nach Anti-PD-L1-Immuntherapie. Alternative Spleiße erkannt als Regulator der Tumor-Immunantwort; Intronretention als Interferon-regulatorische Achse mit Vorhersagekraft.</w:t>
      </w:r>
    </w:p>
    <w:p>
      <w:r>
        <w:rPr>
          <w:b/>
          <w:sz w:val="19"/>
        </w:rPr>
        <w:t xml:space="preserve">Übertragbarkeit: </w:t>
      </w:r>
      <w:r>
        <w:rPr>
          <w:sz w:val="19"/>
        </w:rPr>
        <w:t>Humane primäre Lungentumoren; molekularer Mechanismus mit Weg zur Klinik (Biomarker-Prädikation); USA-Studie, aber Biomarker-Befund therapieunabhängig.</w:t>
      </w:r>
    </w:p>
    <w:p>
      <w:r>
        <w:rPr>
          <w:color w:val="5A7D3A"/>
          <w:sz w:val="18"/>
        </w:rPr>
        <w:t>https://pubmed.ncbi.nlm.nih.gov/42912151/</w:t>
      </w:r>
    </w:p>
    <w:p>
      <w:pPr>
        <w:pStyle w:val="Heading2"/>
      </w:pPr>
      <w:r>
        <w:t>Mirvetuximab + Carboplatin beim platinsensitiven Ovarialkarzinom: 62,7 % Ansprechrate</w:t>
      </w:r>
    </w:p>
    <w:p>
      <w:r>
        <w:rPr>
          <w:i/>
          <w:color w:val="666666"/>
          <w:sz w:val="18"/>
        </w:rPr>
        <w:t>Konecny GE et al.  ·  Clin Cancer Res  ·  21.10.2026  ·  PMID 42905759</w:t>
      </w:r>
    </w:p>
    <w:p>
      <w:r>
        <w:t>Phase-2-Studie zur Kombination des Folat-Rezeptor-alpha-gerichteten Antikörper-Wirkstoff-Konjugats Mirvetuximab mit Carboplatin beim rezidivierten, platinsensitiven Ovarialkarzinom mit FRα-Expression.</w:t>
      </w:r>
    </w:p>
    <w:p>
      <w:r>
        <w:rPr>
          <w:b/>
        </w:rPr>
        <w:t xml:space="preserve">Ergebnis: </w:t>
      </w:r>
      <w:r>
        <w:t>ORR 62,7 % (95%-CI 52,6–72,1) in der FRα-≥50%-Gruppe; 81 % der Patienten setzten mit Monotherapie fort. Medianes PFS 11,0 Monate (9,8–13,1). Häufigste AEs: verschwommenes Sehen (81 %), Hornhautveränderungen (74 %, 96,7 % Grad ≤1). Pneumonitis-Rate 15,2 % (2 Todesfälle). 15 % Abbruch wegen Mirvetuximab, 9 % wegen Carboplatin.</w:t>
      </w:r>
    </w:p>
    <w:p>
      <w:r>
        <w:rPr>
          <w:b/>
          <w:sz w:val="19"/>
        </w:rPr>
        <w:t xml:space="preserve">Übertragbarkeit: </w:t>
      </w:r>
      <w:r>
        <w:rPr>
          <w:sz w:val="19"/>
        </w:rPr>
        <w:t>Nordamerikanische und europäische Sites; FRα-Expression messbar in deutschen Pathologien; Antikörper-Wirkstoff-Konjugate etablierte Substanzklasse.</w:t>
      </w:r>
    </w:p>
    <w:p>
      <w:r>
        <w:rPr>
          <w:color w:val="5A7D3A"/>
          <w:sz w:val="18"/>
        </w:rPr>
        <w:t>https://pubmed.ncbi.nlm.nih.gov/42905759/</w:t>
      </w:r>
    </w:p>
    <w:p>
      <w:pPr>
        <w:pStyle w:val="Heading1"/>
      </w:pPr>
      <w:r>
        <w:t>Aufgenommen am 24.10.2026</w:t>
      </w:r>
    </w:p>
    <w:p>
      <w:pPr>
        <w:pStyle w:val="Heading2"/>
      </w:pPr>
      <w:r>
        <w:t>Capivasertib + Abiraterone verlängert Gesamtüberleben bei PTEN-defizienten Prostatakrebsen</w:t>
      </w:r>
    </w:p>
    <w:p>
      <w:r>
        <w:rPr>
          <w:i/>
          <w:color w:val="666666"/>
          <w:sz w:val="18"/>
        </w:rPr>
        <w:t>Fizazi K et al.  ·  Ann Oncol  ·  23.10.2026  ·  PMID 42918424</w:t>
      </w:r>
    </w:p>
    <w:p>
      <w:r>
        <w:t>Randomisierte Phase-III-Studie zur Wirksamkeit von Capivasertib (ein Protein-Kinase-B-Inhibitor) plus Abiraterone gegen Placebo plus Abiraterone bei Patienten mit neu diagnostiziertem metastasiertem, hormonempfindlichem Prostatakarzinom und PTEN-Mangel.</w:t>
      </w:r>
    </w:p>
    <w:p>
      <w:r>
        <w:rPr>
          <w:b/>
        </w:rPr>
        <w:t xml:space="preserve">Ergebnis: </w:t>
      </w:r>
      <w:r>
        <w:t>Bei 42 % Reife der Gesamtüberlebensdaten (Median Follow-up 39 Monate) zeigte sich ein Gesamtüberlebensvorteil für Capivasertib plus Abiraterone: Medianales Gesamtüberleben 57,4 vs. 46,5 Monate (Hazard Ratio 0,82; 95%-KI 0,68–0,99; P = 0,044). Die Progression-Free-Survival betrug 35,5 vs. 26,0 Monate (HR 0,83; 95%-KI 0,70–0,99). Das Sicherheitsprofil blieb konsistent mit früheren Analysen.</w:t>
      </w:r>
    </w:p>
    <w:p>
      <w:r>
        <w:rPr>
          <w:b/>
          <w:sz w:val="19"/>
        </w:rPr>
        <w:t xml:space="preserve">Übertragbarkeit: </w:t>
      </w:r>
      <w:r>
        <w:rPr>
          <w:sz w:val="19"/>
        </w:rPr>
        <w:t>Europäische Zentren beteiligt; PTEN-Test erlaubt, Targeted Therapy verfügbar.</w:t>
      </w:r>
    </w:p>
    <w:p>
      <w:r>
        <w:rPr>
          <w:color w:val="5A7D3A"/>
          <w:sz w:val="18"/>
        </w:rPr>
        <w:t>https://pubmed.ncbi.nlm.nih.gov/42918424/</w:t>
      </w:r>
    </w:p>
    <w:p>
      <w:pPr>
        <w:pStyle w:val="Heading2"/>
      </w:pPr>
      <w:r>
        <w:t>Ribociclib + Aromatasehemmer verbessert Gesamtüberleben im frühen Brustkrebs</w:t>
      </w:r>
    </w:p>
    <w:p>
      <w:r>
        <w:rPr>
          <w:i/>
          <w:color w:val="666666"/>
          <w:sz w:val="18"/>
        </w:rPr>
        <w:t>Slamon DJ et al.  ·  Ann Oncol  ·  23.10.2026  ·  PMID 42918423</w:t>
      </w:r>
    </w:p>
    <w:p>
      <w:r>
        <w:t>Randomisierte Phase-III-NATALEE-Studie zur Wirksamkeit von Ribociclib (CDK4/6-Inhibitor) plus Nichtsteroidal-Aromatasehemmer versus Aromatasehemmer allein in adjuvanter Therapie bei hormonrezeptor-positivem/HER2-negativem frühem Brustkrebs mit hohem Risiko über 6 Jahre.</w:t>
      </w:r>
    </w:p>
    <w:p>
      <w:r>
        <w:rPr>
          <w:b/>
        </w:rPr>
        <w:t xml:space="preserve">Ergebnis: </w:t>
      </w:r>
      <w:r>
        <w:t>Bei medianer Nachbeobachtung von 66,5 Monaten zeigte Ribociclib plus NSAI einen Gesamtüberlebensvorteil (6-Jahres-Delta 2,1 %; HR 0,809; 95%-KI 0,661–0,989; P = 0,019). Die Invasive-Disease-Free-Survival verbesserte sich (6-Jahres-Delta 5,3 %; HR 0,741; 95%-KI 0,646–0,849). Keine neuen Sicherheitssignale.</w:t>
      </w:r>
    </w:p>
    <w:p>
      <w:r>
        <w:rPr>
          <w:b/>
          <w:sz w:val="19"/>
        </w:rPr>
        <w:t xml:space="preserve">Übertragbarkeit: </w:t>
      </w:r>
      <w:r>
        <w:rPr>
          <w:sz w:val="19"/>
        </w:rPr>
        <w:t>Deutsche Zentren teil der globalen Studie; CDK4/6-Inhibitor standard zertifiziert.</w:t>
      </w:r>
    </w:p>
    <w:p>
      <w:r>
        <w:rPr>
          <w:color w:val="5A7D3A"/>
          <w:sz w:val="18"/>
        </w:rPr>
        <w:t>https://pubmed.ncbi.nlm.nih.gov/42918423/</w:t>
      </w:r>
    </w:p>
    <w:p>
      <w:pPr>
        <w:pStyle w:val="Heading2"/>
      </w:pPr>
      <w:r>
        <w:t>Perioperatives Pembrolizumab verbessert Blasenkrebs-Outcomes nicht signifikant</w:t>
      </w:r>
    </w:p>
    <w:p>
      <w:r>
        <w:rPr>
          <w:i/>
          <w:color w:val="666666"/>
          <w:sz w:val="18"/>
        </w:rPr>
        <w:t>Bedke J et al.  ·  Ann Oncol  ·  23.10.2026  ·  PMID 42918422</w:t>
      </w:r>
    </w:p>
    <w:p>
      <w:r>
        <w:t>Randomisierte Phase-III-KEYNOTE-866-Studie zur Wirksamkeit von perioperativem Pembrolizumab (Immune Checkpoint Inhibitor) versus Placebo zusätzlich zu neoadjuvanter Chemotherapie und radikaler Zystektomie bei muskelinvasivem Blasenkrebs.</w:t>
      </w:r>
    </w:p>
    <w:p>
      <w:r>
        <w:rPr>
          <w:b/>
        </w:rPr>
        <w:t xml:space="preserve">Ergebnis: </w:t>
      </w:r>
      <w:r>
        <w:t>Bei Median-Follow-up von 60,9 Monaten war die Event-Free-Survival bei 60 Monaten 63,5 % mit Pembrolizumab vs. 61,9 % mit Placebo (HR 0,88; 95%-KI 0,71–1,10; P = 0,1366; nicht signifikant). Pathologische komplette Response 44,4 % vs. 35,8 %. Mediales Gesamtüberleben wurde in beiden Gruppen nicht erreicht (HR 1,00). Grad-≥3-Nebenwirkungen: 80,2 % vs. 75,1 %.</w:t>
      </w:r>
    </w:p>
    <w:p>
      <w:r>
        <w:rPr>
          <w:b/>
          <w:sz w:val="19"/>
        </w:rPr>
        <w:t xml:space="preserve">Übertragbarkeit: </w:t>
      </w:r>
      <w:r>
        <w:rPr>
          <w:sz w:val="19"/>
        </w:rPr>
        <w:t>Europäische und internationale Zentren; Checkpoint-Inhibitor in dieser Indikation nicht standard.</w:t>
      </w:r>
    </w:p>
    <w:p>
      <w:r>
        <w:rPr>
          <w:color w:val="5A7D3A"/>
          <w:sz w:val="18"/>
        </w:rPr>
        <w:t>https://pubmed.ncbi.nlm.nih.gov/42918422/</w:t>
      </w:r>
    </w:p>
    <w:p>
      <w:pPr>
        <w:pStyle w:val="Heading2"/>
      </w:pPr>
      <w:r>
        <w:t>Aktive Überwachung gleichwertig zu Operation bei Speiseröhrenkrebs nach Chemoradiotherapie</w:t>
      </w:r>
    </w:p>
    <w:p>
      <w:r>
        <w:rPr>
          <w:i/>
          <w:color w:val="666666"/>
          <w:sz w:val="18"/>
        </w:rPr>
        <w:t>Panday SSGG et al.  ·  Ann Oncol  ·  23.10.2026  ·  PMID 42918421</w:t>
      </w:r>
    </w:p>
    <w:p>
      <w:r>
        <w:t>Multizentrische, stepped-wedge-randomisierte Nichtunterlegenheitsstudie (Niederlande) zu aktiver Überwachung versus Standard-Ösophagektomie nach neoadjuvanter Chemoradiotherapie bei 309 Patienten mit lokal fortgeschrittenem Ösophaguskrebs und kompletter klinischer Response.</w:t>
      </w:r>
    </w:p>
    <w:p>
      <w:r>
        <w:rPr>
          <w:b/>
        </w:rPr>
        <w:t xml:space="preserve">Ergebnis: </w:t>
      </w:r>
      <w:r>
        <w:t>Bei medianer Nachbeobachtung von 76 Monaten: 5-Jahres-Gesamtüberleben 50 % (95%-KI 43–57 %) aktive Überwachung vs. 54 % (95%-KI 46–64 %) Standard-OP (HR 1,17; 95%-KI 0,77–1,77), nicht signifikant unterschiedlich. Krankheitsfreies Überleben: HR 1,39 (95%-KI 0,94–2,06). Fernmetastasen bei 5 Jahren höher in aktiver Überwachung (46 % vs. 29 %; P &lt; 0,01). 43 % der Patienten unter aktiver Überwachung vermieden Ösophagektomie.</w:t>
      </w:r>
    </w:p>
    <w:p>
      <w:r>
        <w:rPr>
          <w:b/>
          <w:sz w:val="19"/>
        </w:rPr>
        <w:t xml:space="preserve">Übertragbarkeit: </w:t>
      </w:r>
      <w:r>
        <w:rPr>
          <w:sz w:val="19"/>
        </w:rPr>
        <w:t>Niederländische Studie, vergleichbares Versicherungssystem; Watch-and-Wait-Strategie nach nCRT established.</w:t>
      </w:r>
    </w:p>
    <w:p>
      <w:r>
        <w:rPr>
          <w:color w:val="5A7D3A"/>
          <w:sz w:val="18"/>
        </w:rPr>
        <w:t>https://pubmed.ncbi.nlm.nih.gov/42918421/</w:t>
      </w:r>
    </w:p>
    <w:p>
      <w:pPr>
        <w:pStyle w:val="Heading2"/>
      </w:pPr>
      <w:r>
        <w:t>Neoadjuvantes Nivolumab + Chemotherapie verbessert Blasenkrebsergebnisse nicht</w:t>
      </w:r>
    </w:p>
    <w:p>
      <w:r>
        <w:rPr>
          <w:i/>
          <w:color w:val="666666"/>
          <w:sz w:val="18"/>
        </w:rPr>
        <w:t>Sonpavde G et al.  ·  Ann Oncol  ·  31.12.2026  ·  PMID 42918420</w:t>
      </w:r>
    </w:p>
    <w:p>
      <w:r>
        <w:t>Randomisierte Phase-III-CA017-078(ENERGIZE)-Studie zu perioperativem Nivolumab plus Gemcitabin-Cisplatin versus Gemcitabin-Cisplatin allein bei muskelinvasivem Blasenkrebs und Cisplatin-Eignung.</w:t>
      </w:r>
    </w:p>
    <w:p>
      <w:r>
        <w:rPr>
          <w:b/>
        </w:rPr>
        <w:t xml:space="preserve">Ergebnis: </w:t>
      </w:r>
      <w:r>
        <w:t>Bei 54,5 Monaten medianer Nachbeobachtung (325 vs. 328 Patienten): Pathologische komplette Response 39,1 % vs. 29,6 % (adjustierte Differenz 9,5 %; 99,91%-KI −2,6 bis 21,6). Event-Free-Survival zeigte keinen Vorteil (104 Events je Arm; HR 0,94; 95,74%-KI 0,71–1,25; P = 0,6697). Gesamtüberleben: HR 0,88 (deskriptiv, da EFS-Kriterium nicht erfüllt). ctDNA-Clearance bei Zyklus 4: 76,9 % insgesamt; ctDNA prognostisch für EFS und OS.</w:t>
      </w:r>
    </w:p>
    <w:p>
      <w:r>
        <w:rPr>
          <w:b/>
          <w:sz w:val="19"/>
        </w:rPr>
        <w:t xml:space="preserve">Übertragbarkeit: </w:t>
      </w:r>
      <w:r>
        <w:rPr>
          <w:sz w:val="19"/>
        </w:rPr>
        <w:t>Europäische und internationale Zentren; Nivolumab-Kombination in dieser Indikation nicht standard.</w:t>
      </w:r>
    </w:p>
    <w:p>
      <w:r>
        <w:rPr>
          <w:color w:val="5A7D3A"/>
          <w:sz w:val="18"/>
        </w:rPr>
        <w:t>https://pubmed.ncbi.nlm.nih.gov/42918420/</w:t>
      </w:r>
    </w:p>
    <w:p>
      <w:pPr>
        <w:pStyle w:val="Heading2"/>
      </w:pPr>
      <w:r>
        <w:t>Kohlenstoff-Ionentherapie zeigt ermutigende Ergebnisse bei Pankreaskrebs</w:t>
      </w:r>
    </w:p>
    <w:p>
      <w:r>
        <w:rPr>
          <w:i/>
          <w:color w:val="666666"/>
          <w:sz w:val="18"/>
        </w:rPr>
        <w:t>Liermann J et al.  ·  Radiother Oncol  ·  22.10.2026  ·  PMID 42913944</w:t>
      </w:r>
    </w:p>
    <w:p>
      <w:r>
        <w:t>Prospektive Phase-II-PACK-Studie zur Wirksamkeit und Sicherheit von Kohlenstoff-Ionenradiotherapie (CIRT) mit gleichzeitiger Gemcitabin-Chemotherapie bei 23 Patienten mit inoperablem oder lokal rezidiviertem Pankreaskrebs.</w:t>
      </w:r>
    </w:p>
    <w:p>
      <w:r>
        <w:rPr>
          <w:b/>
        </w:rPr>
        <w:t xml:space="preserve">Ergebnis: </w:t>
      </w:r>
      <w:r>
        <w:t>1- und 2-Jahres-Gesamtüberleben betrugen 78 % (95%-KI 63–97 %) und 59 % (95%-KI 41–84 %); Median 26,5 Monate. 1- und 2-Jahres-PFS: 26 % (95%-KI 13–52 %) und 10 % (95%-KI 3–37 %); Median 8,1 Monate. Toxizität: 3 Grad-3-Ereignisse (Bauchschmerzen, obere GI-Blutung, Ureterstriktuur); keine Grad-4/5-Toxizitäten.</w:t>
      </w:r>
    </w:p>
    <w:p>
      <w:r>
        <w:rPr>
          <w:b/>
          <w:sz w:val="19"/>
        </w:rPr>
        <w:t xml:space="preserve">Übertragbarkeit: </w:t>
      </w:r>
      <w:r>
        <w:rPr>
          <w:sz w:val="19"/>
        </w:rPr>
        <w:t>Deutsche Studie (Heidelberg); CIRT-Kapazität in Deutschland begrenzt, erfordert Phase-III-Validation.</w:t>
      </w:r>
    </w:p>
    <w:p>
      <w:r>
        <w:rPr>
          <w:color w:val="5A7D3A"/>
          <w:sz w:val="18"/>
        </w:rPr>
        <w:t>https://pubmed.ncbi.nlm.nih.gov/42913944/</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