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27.10.2026  |  6 Studien  |  onkologie.m-vf.de</w:t>
      </w:r>
    </w:p>
    <w:p>
      <w:pPr>
        <w:pStyle w:val="Heading1"/>
      </w:pPr>
      <w:r>
        <w:t>Aufgenommen am 27.10.2026</w:t>
      </w:r>
    </w:p>
    <w:p>
      <w:pPr>
        <w:pStyle w:val="Heading2"/>
      </w:pPr>
      <w:r>
        <w:t>Tarlatamab verlängert Gesamtüberleben bei kleinzelligem Lungenkarzinom deutlich</w:t>
      </w:r>
    </w:p>
    <w:p>
      <w:r>
        <w:rPr>
          <w:i/>
          <w:color w:val="666666"/>
          <w:sz w:val="18"/>
        </w:rPr>
        <w:t>Rudin CM et al.  ·  Ann Oncol  ·  31.12.2026  ·  PMID 42933636</w:t>
      </w:r>
    </w:p>
    <w:p>
      <w:r>
        <w:t>Randomisierte Phase-3-Studie zum Vergleich von Tarlatamab (bispezifischer T-Zell-Engager gegen DLL3 und CD3) mit Chemotherapie (Topotekan, Lurbinectedin oder Amrubicin) bei Patienten mit kleinzelligem Lungenkarzinom nach Platinchemotherapie-Versagen.</w:t>
      </w:r>
    </w:p>
    <w:p>
      <w:r>
        <w:rPr>
          <w:b/>
        </w:rPr>
        <w:t xml:space="preserve">Ergebnis: </w:t>
      </w:r>
      <w:r>
        <w:t>Median-OS 13,6 Monate (Tarlatamab) vs. 8,4 Monate (Chemotherapie), HR 0,68 (p&lt;0,001); 24-Monate-OS-Raten 30,3% vs. 14,9%; Median-PFS 4,2 vs. 3,2 Monate; objektive Ansprechrate 35,4% vs. 20,4%. Behandlungsbedingte Nebenwirkungen führten bei 3,2% (Tarlatamab) vs. 6,6% (Chemotherapie) zum Abbruch.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 mit Zentren in Deutschland, Italien, Frankreich und UK; Ergebnisse unmittelbar auf deutsches System übertragbar.</w:t>
      </w:r>
    </w:p>
    <w:p>
      <w:r>
        <w:rPr>
          <w:color w:val="5A7D3A"/>
          <w:sz w:val="18"/>
        </w:rPr>
        <w:t>https://pubmed.ncbi.nlm.nih.gov/42933636/</w:t>
      </w:r>
    </w:p>
    <w:p>
      <w:pPr>
        <w:pStyle w:val="Heading2"/>
      </w:pPr>
      <w:r>
        <w:t>Heilungsintention bei metastasiertem Nasopharynxkarzinom - internationale Konsensus-Leitlinie</w:t>
      </w:r>
    </w:p>
    <w:p>
      <w:r>
        <w:rPr>
          <w:i/>
          <w:color w:val="666666"/>
          <w:sz w:val="18"/>
        </w:rPr>
        <w:t>Guo QJ et al.  ·  Lancet Oncol  ·  Nov. 2026  ·  PMID 42933448</w:t>
      </w:r>
    </w:p>
    <w:p>
      <w:r>
        <w:t>Internationale Konsensus-Leitlinie von 54 Experten aus 46 Zentren in 18 Ländern zur kurativen Behandlung von Patienten mit de-novo-metastasiertem Nasopharynxkarzinom, entwickelt durch systematische Evidenzbewertung.</w:t>
      </w:r>
    </w:p>
    <w:p>
      <w:r>
        <w:rPr>
          <w:b/>
        </w:rPr>
        <w:t xml:space="preserve">Ergebnis: </w:t>
      </w:r>
      <w:r>
        <w:t>32 Empfehlungen in 7 Domänen formuliert: 29 starke (≥80% Konsens oder hohe Evidenzqualität) und 3 konditionale (67-79% Konsens). Kernempfehlung: Kurative Therapie für medizinisch fitte Patienten mit maximal 3 Metastasen in ≤2 Organen; multimodale Behandlung (Immunochemotherapie, lokoregionale Radiotherapie, Metastasen-gerichtete Therapie, Erhaltungstherapie).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erarbeitete Leitlinie mit starker europäischer Beteiligung (Frankreich, Deutschland, UK, Schweiz, Niederlande, Italien); direkt auf deutsches Behandlungssystem anwendbar.</w:t>
      </w:r>
    </w:p>
    <w:p>
      <w:r>
        <w:rPr>
          <w:color w:val="5A7D3A"/>
          <w:sz w:val="18"/>
        </w:rPr>
        <w:t>https://pubmed.ncbi.nlm.nih.gov/42933448/</w:t>
      </w:r>
    </w:p>
    <w:p>
      <w:pPr>
        <w:pStyle w:val="Heading2"/>
      </w:pPr>
      <w:r>
        <w:t>CAR-T-Therapie verbessert ereignisfreies Überleben bei B-Zell-Lymphom stark</w:t>
      </w:r>
    </w:p>
    <w:p>
      <w:r>
        <w:rPr>
          <w:i/>
          <w:color w:val="666666"/>
          <w:sz w:val="18"/>
        </w:rPr>
        <w:t>Borchmann P et al.  ·  Lancet Oncol  ·  Nov. 2026  ·  PMID 42933440</w:t>
      </w:r>
    </w:p>
    <w:p>
      <w:r>
        <w:t>Randomisierte europäische Phase-2-Studie an 45 Zentren in 12 Ländern zum Vergleich von Zamtocabtagene autoleucel (bivirales anti-CD20/CD19 CAR-T) mit R-GemOx-Chemotherapie bei transplantationsineligiblen Patienten mit rezidiviertem/refraktärem Lymphom.</w:t>
      </w:r>
    </w:p>
    <w:p>
      <w:r>
        <w:rPr>
          <w:b/>
        </w:rPr>
        <w:t xml:space="preserve">Ergebnis: </w:t>
      </w:r>
      <w:r>
        <w:t>Ereignisfreies Überleben (primärer Endpunkt) 6,21 Monate (Zamto-cel) vs. 2,53 Monate (R-GemOx), HR 0,39 (p&lt;0,0001); Grade ≥3 Nebenwirkungen in 83% (Zamto-cel) vs. 86% (R-GemOx); Zytokin-Freisetzungssyndrom (CRS) in 8% (vorwiegend Grad 1-2), Neurotoxizität in 5%. Schwerwiegende Nebenwirkungen in 41% vs. 66%.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 (Deutschland, Niederlande, Spanien, Frankreich, Österreich, Belgien, Litauen); direkt auf deutsches Zentrumsystem übertragbar.</w:t>
      </w:r>
    </w:p>
    <w:p>
      <w:r>
        <w:rPr>
          <w:color w:val="5A7D3A"/>
          <w:sz w:val="18"/>
        </w:rPr>
        <w:t>https://pubmed.ncbi.nlm.nih.gov/42933440/</w:t>
      </w:r>
    </w:p>
    <w:p>
      <w:pPr>
        <w:pStyle w:val="Heading2"/>
      </w:pPr>
      <w:r>
        <w:t>Validierte Lebensqualitätsmessung für seltene Tumorerkrankungen etabliert</w:t>
      </w:r>
    </w:p>
    <w:p>
      <w:r>
        <w:rPr>
          <w:i/>
          <w:color w:val="666666"/>
          <w:sz w:val="18"/>
        </w:rPr>
        <w:t>Padilla CS et al.  ·  Eur J Cancer  ·  14.10.2026  ·  PMID 42933087</w:t>
      </w:r>
    </w:p>
    <w:p>
      <w:r>
        <w:t>Europäische Querschnittsstudie bei 397 Patienten mit 20 verschiedenen soliden seltenen Tumorerkrankungen zur Relevanzprüfung von EORTC-Lebensqualitätsfragebogen (QLQ-C30 und tumorspezifisch).</w:t>
      </w:r>
    </w:p>
    <w:p>
      <w:r>
        <w:rPr>
          <w:b/>
        </w:rPr>
        <w:t xml:space="preserve">Ergebnis: </w:t>
      </w:r>
      <w:r>
        <w:t>Alle QLQ-C30-Items erfüllten Relevanzschwelle (Mittelwert ≥1,5) über alle Diagnosen hinweg; häufigste Prioritäten: Gesamtgesundheit (37,05%), Lebensqualität (37,5%), Schmerz (34%), Interferenz Schmerz/Aktivitäten (28%), Sorge (26,4%). Tumorspezifische Tests variierten stark (QLQ-BIL21 sehr relevant, QLQ-VU34 nur einzelne Items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 koordinierte Studie (Niederlande, Deutschland, Spanien, Italien, Türkei, China); Empfehlungen direkt nutzbar für deutsches Nachsorgeangebot in Zentren.</w:t>
      </w:r>
    </w:p>
    <w:p>
      <w:r>
        <w:rPr>
          <w:color w:val="5A7D3A"/>
          <w:sz w:val="18"/>
        </w:rPr>
        <w:t>https://pubmed.ncbi.nlm.nih.gov/42933087/</w:t>
      </w:r>
    </w:p>
    <w:p>
      <w:pPr>
        <w:pStyle w:val="Heading2"/>
      </w:pPr>
      <w:r>
        <w:t>HPV16-ctDNA als starker Prognosemarker und Überwachungsbiomarker</w:t>
      </w:r>
    </w:p>
    <w:p>
      <w:r>
        <w:rPr>
          <w:i/>
          <w:color w:val="666666"/>
          <w:sz w:val="18"/>
        </w:rPr>
        <w:t>Torrens L et al.  ·  Eur J Cancer  ·  05.10.2026  ·  PMID 42933086</w:t>
      </w:r>
    </w:p>
    <w:p>
      <w:r>
        <w:t>Internationale Multizenterstudie bei 173 HPV-positiven Oropharynxkarzinom-Patienten aus Süd- und Nordamerika sowie Europa zur Validierung von HPV16 zirkulärer Tumor-DNA (mittels digitaler PCR) für Prognose und post-therapeutische Überwachung.</w:t>
      </w:r>
    </w:p>
    <w:p>
      <w:r>
        <w:rPr>
          <w:b/>
        </w:rPr>
        <w:t xml:space="preserve">Ergebnis: </w:t>
      </w:r>
      <w:r>
        <w:t>Baseline-HPV16-ctDNA: 100% Spezifität, 73,4% Sensitivität; ctDNA-positive Patienten hatten signifikant schlechteres OS als ctDNA-negative; höhere ctDNA-Level (≥1082 Kopien/mL) unabhängig mit schlechterer OS assoziiert (HR 1,68, p=0,019); persistierende post-therapeutische ctDNA-Detektion mit Progression/Rezidiv in 6,3-23,0 Monaten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 durchgeführt mit europäischen (Frankreich, Tschechien, Italien) und südamerikanischen Zentren; Methode auf deutsches Laborsystem anwendbar.</w:t>
      </w:r>
    </w:p>
    <w:p>
      <w:r>
        <w:rPr>
          <w:color w:val="5A7D3A"/>
          <w:sz w:val="18"/>
        </w:rPr>
        <w:t>https://pubmed.ncbi.nlm.nih.gov/42933086/</w:t>
      </w:r>
    </w:p>
    <w:p>
      <w:pPr>
        <w:pStyle w:val="Heading2"/>
      </w:pPr>
      <w:r>
        <w:t>Tumorkonferenz-Beteiligung verdoppelt Erfolg von Ernährungs- und Bewegungsberatung</w:t>
      </w:r>
    </w:p>
    <w:p>
      <w:r>
        <w:rPr>
          <w:i/>
          <w:color w:val="666666"/>
          <w:sz w:val="18"/>
        </w:rPr>
        <w:t>Eichler M et al.  ·  JCO Oncol Pract  ·  26.10.2026  ·  PMID 42932823</w:t>
      </w:r>
    </w:p>
    <w:p>
      <w:r>
        <w:t>Deutsche Einzelzenter-Studie (Nationales Zentrum für Tumorerkrankungen Dresden) mit retrospektiver Analyse von 1.256 onkologischen Patienten zur Umsetzung strukturierter Ernährungs- und Bewegungsberatung via elektronische PRO-Erfassung und Tumorkonferenz-Koordination.</w:t>
      </w:r>
    </w:p>
    <w:p>
      <w:r>
        <w:rPr>
          <w:b/>
        </w:rPr>
        <w:t xml:space="preserve">Ergebnis: </w:t>
      </w:r>
      <w:r>
        <w:t>Ernährungsscreening identifizierte Risiko bei 62,2% (664/1.068), Bewegungsscreening bei 84,4% (1.046/1.240); Beratungsangebot nur 27,6% (Ernährung) bzw. 52,9% (Bewegung) der Gefährdeten; Abschluss-Rate 13,6% (Ernährung) bzw. 11,2% (Bewegung) unter den Angebotenen. Tumorkonferenz-Beteiligung unabhängig assoziiert mit höherer Abschlussquote (OR 2,3 Ernährung, OR 2,8 Bewegung).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unmittelbar auf deutsches Versorgungssystem anwendbar.</w:t>
      </w:r>
    </w:p>
    <w:p>
      <w:r>
        <w:rPr>
          <w:color w:val="5A7D3A"/>
          <w:sz w:val="18"/>
        </w:rPr>
        <w:t>https://pubmed.ncbi.nlm.nih.gov/42932823/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2026-10-27T06:00:00Z</dcterms:created>
  <dcterms:modified xsi:type="dcterms:W3CDTF">2026-10-27T06:00:00Z</dcterms:modified>
  <cp:category/>
</cp:coreProperties>
</file>