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29.09.2026  |  7 Studien  |  onkologie.m-vf.de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Hypofractionierte Postmastektomie-Radiotherapie ohne Anstieg schwerer Toxizitäten</w:t>
      </w:r>
    </w:p>
    <w:p>
      <w:r>
        <w:rPr>
          <w:i/>
          <w:color w:val="666666"/>
          <w:sz w:val="18"/>
        </w:rPr>
        <w:t>Sun GY et al.  ·  Lancet Oncol  ·  Okt. 2026  ·  PMID 42805199</w:t>
      </w:r>
    </w:p>
    <w:p>
      <w:r>
        <w:t>Randomisierte Phase-3-Studie mit 10-Jahres-Nachbeobachtung von 820 Patientinnen mit hochrisiko-Brustkrebs nach Mastektomie.</w:t>
      </w:r>
    </w:p>
    <w:p>
      <w:r>
        <w:rPr>
          <w:b/>
        </w:rPr>
        <w:t xml:space="preserve">Ergebnis: </w:t>
      </w:r>
      <w:r>
        <w:t>Lokoregionales Rezidiv nach 10 Jahren: 10,3 % (konventionell) vs. 12,0 % (hypofraktioniert; Hazard Ratio 1,19; 95%-KI 0,79–1,82). Grade-3-Toxizitäten waren selten und ähnlich in beiden Gruppen (je &lt;1–2 %). Hypofraktionierung ist zeiteffizient und gleichwertig sicher.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 onkologische Versorgung; Ergebnis sollte Leitlinien beeinflussen.</w:t>
      </w:r>
    </w:p>
    <w:p>
      <w:r>
        <w:rPr>
          <w:color w:val="5A7D3A"/>
          <w:sz w:val="18"/>
        </w:rPr>
        <w:t>https://pubmed.ncbi.nlm.nih.gov/42805199/</w:t>
      </w:r>
    </w:p>
    <w:p>
      <w:pPr>
        <w:pStyle w:val="Heading2"/>
      </w:pPr>
      <w:r>
        <w:t>2,3 Millionen Krebsfälle weltweit durch Infektionen: Prävention möglich</w:t>
      </w:r>
    </w:p>
    <w:p>
      <w:r>
        <w:rPr>
          <w:i/>
          <w:color w:val="666666"/>
          <w:sz w:val="18"/>
        </w:rPr>
        <w:t>Rumgay H et al.  ·  Lancet Oncol  ·  Okt. 2026  ·  PMID 42805198</w:t>
      </w:r>
    </w:p>
    <w:p>
      <w:r>
        <w:t>Analyse der Global Cancer Observatory 2024 zu Krebslast durch 12 klassifizierten Karzinogene (H. pylori, HPV, HBV, HCV, EBV u. a.).</w:t>
      </w:r>
    </w:p>
    <w:p>
      <w:r>
        <w:rPr>
          <w:b/>
        </w:rPr>
        <w:t xml:space="preserve">Ergebnis: </w:t>
      </w:r>
      <w:r>
        <w:t>12 % aller Krebsinzidenz 2024 (2,3 Mio. Fälle) attributabel: H. pylori 760.000 (4 %), HPV 750.000 (4 %), HBV 360.000 (2 %). Höchste Lasten in Ostasien (990.000 Fälle; 31,9/100.000), Sub-Sahara-Afrika (28,5/100.000). Prävention durch Impfung, Test-and-Treat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 applikabel, auch für Deutschland bei Präventionsplanung relevant.</w:t>
      </w:r>
    </w:p>
    <w:p>
      <w:r>
        <w:rPr>
          <w:color w:val="5A7D3A"/>
          <w:sz w:val="18"/>
        </w:rPr>
        <w:t>https://pubmed.ncbi.nlm.nih.gov/42805198/</w:t>
      </w:r>
    </w:p>
    <w:p>
      <w:pPr>
        <w:pStyle w:val="Heading2"/>
      </w:pPr>
      <w:r>
        <w:t>Keimbahnvariantenscreening: Nutzen vs. Schaden für Population?</w:t>
      </w:r>
    </w:p>
    <w:p>
      <w:r>
        <w:rPr>
          <w:i/>
          <w:color w:val="666666"/>
          <w:sz w:val="18"/>
        </w:rPr>
        <w:t>Turnbull C et al.  ·  Lancet Oncol  ·  25.09.2026  ·  PMID 42790443</w:t>
      </w:r>
    </w:p>
    <w:p>
      <w:r>
        <w:t>Policy Review von Experten zu Expansion von Cancer-Susceptibility-Testing von Genetik-Kliniken in die Bevölkerung; Fokus auf klinische Evidenz und Health-System-Implikationen.</w:t>
      </w:r>
    </w:p>
    <w:p>
      <w:r>
        <w:rPr>
          <w:b/>
        </w:rPr>
        <w:t xml:space="preserve">Ergebnis: </w:t>
      </w:r>
      <w:r>
        <w:t>Nur für wenige Gene (BRCA1, BRCA2, MLH1, MSH2) etablierte Risiken und evidenzgestützte Interventionen. Für viele Panel-Gene: unsichere Penetranz, fehlende Mortalitätsreduktion und Kosteneffektivität. Polygene Risikoscores diskriminatorisch begrenzt, abhängig von Ethnizität. Tiered, kontextabhängiger Implementierungsansatz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 auf Deutschland übertragbar; könnte AMNOG-, Zertifizierungs- und Leitlinien-Entscheidungen beeinflussen.</w:t>
      </w:r>
    </w:p>
    <w:p>
      <w:r>
        <w:rPr>
          <w:color w:val="5A7D3A"/>
          <w:sz w:val="18"/>
        </w:rPr>
        <w:t>https://pubmed.ncbi.nlm.nih.gov/42790443/</w:t>
      </w:r>
    </w:p>
    <w:p>
      <w:pPr>
        <w:pStyle w:val="Heading2"/>
      </w:pPr>
      <w:r>
        <w:t>Real-World-Überleben HER2-positiver metastastischer Brustkrebs: 41,4 Monate</w:t>
      </w:r>
    </w:p>
    <w:p>
      <w:r>
        <w:rPr>
          <w:i/>
          <w:color w:val="666666"/>
          <w:sz w:val="18"/>
        </w:rPr>
        <w:t>Lee SC et al.  ·  ESMO Open  ·  25.09.2026  ·  PMID 42790263</w:t>
      </w:r>
    </w:p>
    <w:p>
      <w:r>
        <w:t>Retrospektive HER2 REAL Study aus 6 Ländern mit 763 Patienten und HER2-positivem metastasiertem Brustkrebs; Treatment Patterns und OS.</w:t>
      </w:r>
    </w:p>
    <w:p>
      <w:r>
        <w:rPr>
          <w:b/>
        </w:rPr>
        <w:t xml:space="preserve">Ergebnis: </w:t>
      </w:r>
      <w:r>
        <w:t>Mediales Gesamtüberleben: 41,4 Monate (95%-KI 38,1–45,8). Erste Linie Trastuzumab+Pertuzumab+CT: 58,1 % erhalten, medianes OS 46,8 Monate. Zweite Linie T-DM1: 45,5 %, medianes OS 23,9 Monate. Heterogenes Therapiemuster, Optimierungsbedarf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6 Länder, Patientenauswahl pragmatisch, Real-World-Vergleichswert aber limitiert aussagekräftig für Deutschland.</w:t>
      </w:r>
    </w:p>
    <w:p>
      <w:r>
        <w:rPr>
          <w:color w:val="5A7D3A"/>
          <w:sz w:val="18"/>
        </w:rPr>
        <w:t>https://pubmed.ncbi.nlm.nih.gov/42790263/</w:t>
      </w:r>
    </w:p>
    <w:p>
      <w:pPr>
        <w:pStyle w:val="Heading2"/>
      </w:pPr>
      <w:r>
        <w:t>Daratumumab mit VRd verbessert Remissionstiefe bei transplantuntauglichem Myelom</w:t>
      </w:r>
    </w:p>
    <w:p>
      <w:r>
        <w:rPr>
          <w:i/>
          <w:color w:val="666666"/>
          <w:sz w:val="18"/>
        </w:rPr>
        <w:t>Usmani SZ et al.  ·  J Clin Oncol  ·  25.09.2026  ·  PMID 42789828</w:t>
      </w:r>
    </w:p>
    <w:p>
      <w:r>
        <w:t>Phase-3-Studie CEPHEUS mit 289 transplantuntauglichen Patienten (median 58,7 Monate Nachfolge): DVRd versus VRd.</w:t>
      </w:r>
    </w:p>
    <w:p>
      <w:r>
        <w:rPr>
          <w:b/>
        </w:rPr>
        <w:t xml:space="preserve">Ergebnis: </w:t>
      </w:r>
      <w:r>
        <w:t>MRD-Negativität (10⁻⁵): 60,4 % (DVRd) vs. 39,3 % (VRd; p=0,0004). Progressionsfreies Überleben: HR 0,51 (95%-KI 0,35–0,74; p=0,0003). Nachhaltige MRD ≥12 Monate: 47,2 % vs. 28,3 % (p=0,0010).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Zulassungsrelevante Studie, Datenlage für AMNOG-Bewertung verfügbar.</w:t>
      </w:r>
    </w:p>
    <w:p>
      <w:r>
        <w:rPr>
          <w:color w:val="5A7D3A"/>
          <w:sz w:val="18"/>
        </w:rPr>
        <w:t>https://pubmed.ncbi.nlm.nih.gov/42789828/</w:t>
      </w:r>
    </w:p>
    <w:p>
      <w:pPr>
        <w:pStyle w:val="Heading2"/>
      </w:pPr>
      <w:r>
        <w:t>Symptomcluster nach Schilddrüsenkrebs-OP beeinflussen Lebensqualität</w:t>
      </w:r>
    </w:p>
    <w:p>
      <w:r>
        <w:rPr>
          <w:i/>
          <w:color w:val="666666"/>
          <w:sz w:val="18"/>
        </w:rPr>
        <w:t>Gao J et al.  ·  Oncologist  ·  24.09.2026  ·  PMID 42786665</w:t>
      </w:r>
    </w:p>
    <w:p>
      <w:r>
        <w:t>Nationale multizentrische Querschnittsstudie mit 1.093 Patienten 4 Wochen post-Thyreoidektomie; Symptome und Lebensqualität mittels EORTC QLQ erhoben.</w:t>
      </w:r>
    </w:p>
    <w:p>
      <w:r>
        <w:rPr>
          <w:b/>
        </w:rPr>
        <w:t xml:space="preserve">Ergebnis: </w:t>
      </w:r>
      <w:r>
        <w:t>Drei Symptomcluster identifiziert: psychologisch-somatisch, Schilddrüsenhormon-bezogen, Operations-bezogen. Psychologisch-somatischer Cluster stärker mit schlechterer Lebensqualität assoziiert (β=−0,596; 95%-KI −0,713 bis −0,581). Frauen und Totalthyreoidektomie zeigten höhere Risikomarker.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Symptomerfassung übertragbar, strukturierte Nachsorge-Interventionen ableitbar.</w:t>
      </w:r>
    </w:p>
    <w:p>
      <w:r>
        <w:rPr>
          <w:color w:val="5A7D3A"/>
          <w:sz w:val="18"/>
        </w:rPr>
        <w:t>https://pubmed.ncbi.nlm.nih.gov/42786665/</w:t>
      </w:r>
    </w:p>
    <w:p>
      <w:pPr>
        <w:pStyle w:val="Heading2"/>
      </w:pPr>
      <w:r>
        <w:t>TA-Wiederholungen als Schwachstelle extrachromosomaler DNA im Tumor</w:t>
      </w:r>
    </w:p>
    <w:p>
      <w:r>
        <w:rPr>
          <w:i/>
          <w:color w:val="666666"/>
          <w:sz w:val="18"/>
        </w:rPr>
        <w:t>Billing D et al.  ·  Nature  ·  23.09.2026  ·  PMID 42778593</w:t>
      </w:r>
    </w:p>
    <w:p>
      <w:r>
        <w:t>Grundlagenarbeit zur Mechanik der Aufrechterhaltung extrachromosomaler DNA (ecDNA) in Krebszellen mittels Single-Cell-Sequenzierung und funktionellen Studien.</w:t>
      </w:r>
    </w:p>
    <w:p>
      <w:r>
        <w:rPr>
          <w:b/>
        </w:rPr>
        <w:t xml:space="preserve">Ergebnis: </w:t>
      </w:r>
      <w:r>
        <w:t>Polymerase-θ (Polθ) und FANCM supprimieren Bruchbildung an TA-reichen Stellen. MMEJ-Reparatur hält ecDNA stabil; Polθ-Inhibition destabilisiert ecDNA selektiv, induziert Fitnessverlust in ecDNA-abhängigen Tumoren. Therapeutisches Potenzial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Deutschland (Charité beteiligt); Zielstruktur für neue Wirkstoff-entwicklung, noch präklinisch.</w:t>
      </w:r>
    </w:p>
    <w:p>
      <w:r>
        <w:rPr>
          <w:color w:val="5A7D3A"/>
          <w:sz w:val="18"/>
        </w:rPr>
        <w:t>https://pubmed.ncbi.nlm.nih.gov/42778593/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