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18.10.2026  |  237 Studien  |  onkologie.m-vf.de</w:t>
      </w:r>
    </w:p>
    <w:p>
      <w:pPr>
        <w:pStyle w:val="Heading1"/>
      </w:pPr>
      <w:r>
        <w:t>Aufgenommen am 18.10.2026</w:t>
      </w:r>
    </w:p>
    <w:p>
      <w:pPr>
        <w:pStyle w:val="Heading2"/>
      </w:pPr>
      <w:r>
        <w:t>Talazoparib + Enzalutamid bei metastasiertem Prostatakarzinom: PARP-Inhibitor bessert PSA-Response nicht</w:t>
      </w:r>
    </w:p>
    <w:p>
      <w:r>
        <w:rPr>
          <w:i/>
          <w:color w:val="666666"/>
          <w:sz w:val="18"/>
        </w:rPr>
        <w:t>Zacchi F et al.  ·  Nat Med  ·  14.10.2026  ·  PMID 42875559</w:t>
      </w:r>
    </w:p>
    <w:p>
      <w:r>
        <w:t>Randomisierte Phase-II-Studie mit 54 Patienten, die den Nutzen von PARP-Inhibitor Talazoparib zusätzlich zu Enzalutamid bei hochvolumigen metastasierten hormonsensitiven Prostatakarzinomen untersuchte.</w:t>
      </w:r>
    </w:p>
    <w:p>
      <w:r>
        <w:rPr>
          <w:b/>
        </w:rPr>
        <w:t xml:space="preserve">Ergebnis: </w:t>
      </w:r>
      <w:r>
        <w:t>PSA-Ansprechrate (&lt;0,2 ng/ml) nach 12 Monaten: 73% unter Kombinationstherapie vs. 64,7% unter Enzalutamid allein (p=0,54 für explorativen Vergleich). Grade ≥3 Nebenwirkungen: 68% vs. 35%, davon Anämie 41%. Zwei Todesfälle durch therapieassoziierte myeloide Neoplasien in der Kombinationsgruppe. Die Studie zeigt klinische Aktivität, aber keinen klaren zusätzlichen Nutzen gegenüber Monotherapie bei erhöhter Toxizität.</w:t>
      </w:r>
    </w:p>
    <w:p>
      <w:r>
        <w:rPr>
          <w:b/>
          <w:sz w:val="19"/>
        </w:rPr>
        <w:t xml:space="preserve">Übertragbarkeit: </w:t>
      </w:r>
      <w:r>
        <w:rPr>
          <w:sz w:val="19"/>
        </w:rPr>
        <w:t>Spanische akademische Zentren, europäisches Gesundheitssystem, begrenzte Übertragbarkeit wegen geringer Fallzahl</w:t>
      </w:r>
    </w:p>
    <w:p>
      <w:r>
        <w:rPr>
          <w:color w:val="5A7D3A"/>
          <w:sz w:val="18"/>
        </w:rPr>
        <w:t>https://pubmed.ncbi.nlm.nih.gov/42875559/</w:t>
      </w:r>
    </w:p>
    <w:p>
      <w:pPr>
        <w:pStyle w:val="Heading2"/>
      </w:pPr>
      <w:r>
        <w:t>Personalisierte Neoantigen-Vakzine bei Ovarialkarzinom: Phase-I-Verträglichkeit erreicht</w:t>
      </w:r>
    </w:p>
    <w:p>
      <w:r>
        <w:rPr>
          <w:i/>
          <w:color w:val="666666"/>
          <w:sz w:val="18"/>
        </w:rPr>
        <w:t>Sellars MC et al.  ·  Nat Med  ·  14.10.2026  ·  PMID 42875558</w:t>
      </w:r>
    </w:p>
    <w:p>
      <w:r>
        <w:t>Phase-I-Studie mit 10 Patienten (1 Neudiagnose, 9 bei Rezidiv), die eine individualisierte Neoantigen-Peptidvakzine kombiniert mit verzögerter Anti-PD-1-Therapie untersuchte.</w:t>
      </w:r>
    </w:p>
    <w:p>
      <w:r>
        <w:rPr>
          <w:b/>
        </w:rPr>
        <w:t xml:space="preserve">Ergebnis: </w:t>
      </w:r>
      <w:r>
        <w:t>Vakzinierungsrate Cohort B (Rezidive): 75% (90%-KI 47–93%); keine Sicherheitssignale oder Therapieabbrüche wegen Toxizität. &gt;70% der ausgewählten Antigenziele blieben trotz 6,5 Monaten Standard-Chemotherapie durch zellfreie DNA nachweisbar. Biomarkeranalyse deutete auf biologische Aktivität bei 6 von 10 Patienten hin, assoziiert mit breiterer tumor- und impfspezifischer Immunität. Mechanismen der Tumorresistenz zeigten diverse Effekte auf Antigenrepräsentation.</w:t>
      </w:r>
    </w:p>
    <w:p>
      <w:r>
        <w:rPr>
          <w:b/>
          <w:sz w:val="19"/>
        </w:rPr>
        <w:t xml:space="preserve">Übertragbarkeit: </w:t>
      </w:r>
      <w:r>
        <w:rPr>
          <w:sz w:val="19"/>
        </w:rPr>
        <w:t>USA, Dana-Farber, nur Sicherheit übertragbar – Early-Phase-Machbarkeitsstudie</w:t>
      </w:r>
    </w:p>
    <w:p>
      <w:r>
        <w:rPr>
          <w:color w:val="5A7D3A"/>
          <w:sz w:val="18"/>
        </w:rPr>
        <w:t>https://pubmed.ncbi.nlm.nih.gov/42875558/</w:t>
      </w:r>
    </w:p>
    <w:p>
      <w:pPr>
        <w:pStyle w:val="Heading2"/>
      </w:pPr>
      <w:r>
        <w:t>Dosiseskalierende Brachytherapie bei Prostatakarzinom-Rezidiv: 3-Jahres-Lokalkonrolle 73%</w:t>
      </w:r>
    </w:p>
    <w:p>
      <w:r>
        <w:rPr>
          <w:i/>
          <w:color w:val="666666"/>
          <w:sz w:val="18"/>
        </w:rPr>
        <w:t>Solanki AA et al.  ·  J Clin Oncol  ·  14.10.2026  ·  PMID 42874014</w:t>
      </w:r>
    </w:p>
    <w:p>
      <w:r>
        <w:t>Multizentrische Phase-I/II-Studie mit 62 Patienten, die fokale salvage High-Dose-Rate-Brachytherapie (30 Gy in 1–2 Fraktionen) mit genomischem Klassifizierer-Risikoschichtung für intraprosteatische Rezidive nach definitiver Radiotherapie evaluierte.</w:t>
      </w:r>
    </w:p>
    <w:p>
      <w:r>
        <w:rPr>
          <w:b/>
        </w:rPr>
        <w:t xml:space="preserve">Ergebnis: </w:t>
      </w:r>
      <w:r>
        <w:t>Median Follow-up 39,4 Monate. 3-Jahres-Raten: biochemische Progressionsfreiheit 62,7%, lokale Rezidivfreiheit 73,0%, fernmetastasenfreies Überleben 85,9%. Keine akuten Grad-3-Toxizitäten, zwei (3,2%) späte Grad-3-Ereignisse. Genomischer Score &gt;0,85 (n=4) prädizierten 100% Rezidive. Lebensqualitätsänderungen erreichten keine klinisch relevanten Unterschiede.</w:t>
      </w:r>
    </w:p>
    <w:p>
      <w:r>
        <w:rPr>
          <w:b/>
          <w:sz w:val="19"/>
        </w:rPr>
        <w:t xml:space="preserve">Übertragbarkeit: </w:t>
      </w:r>
      <w:r>
        <w:rPr>
          <w:sz w:val="19"/>
        </w:rPr>
        <w:t>USA-Konsortium, Verfahren technisch auf Deutschland übertragbar, klinische Validierung ausstehend</w:t>
      </w:r>
    </w:p>
    <w:p>
      <w:r>
        <w:rPr>
          <w:color w:val="5A7D3A"/>
          <w:sz w:val="18"/>
        </w:rPr>
        <w:t>https://pubmed.ncbi.nlm.nih.gov/42874014/</w:t>
      </w:r>
    </w:p>
    <w:p>
      <w:pPr>
        <w:pStyle w:val="Heading2"/>
      </w:pPr>
      <w:r>
        <w:t>ASCO-Leitlinie Gallenwegskrebs 2026: Immuntherapie + Chemotherapie erste Linie</w:t>
      </w:r>
    </w:p>
    <w:p>
      <w:r>
        <w:rPr>
          <w:i/>
          <w:color w:val="666666"/>
          <w:sz w:val="18"/>
        </w:rPr>
        <w:t>Shroff RT et al.  ·  J Clin Oncol  ·  14.10.2026  ·  PMID 42874012</w:t>
      </w:r>
    </w:p>
    <w:p>
      <w:r>
        <w:t>Aktualisierte ASCO-Leitlinie mit systematischer Evidenzanalyse zu Liquid Biopsy und systemischer Therapie bei fortgeschrittenem Gallenwegskrebs (mMMR/MSS und seltene Mutationen).</w:t>
      </w:r>
    </w:p>
    <w:p>
      <w:r>
        <w:rPr>
          <w:b/>
        </w:rPr>
        <w:t xml:space="preserve">Ergebnis: </w:t>
      </w:r>
      <w:r>
        <w:t>6 Studien zu Liquid Biopsy-Konkordanz mit Gewebebiopsie analysiert. 9 RCTs erste Linie, 5 RCTs/Phase-II zweite Linie. Empfehlungen: NGS Gewebe und RNA zur Biomarker-Detektion an Diagnose; pMMR/MSS erste Linie: Immune Checkpoint Inhibitor + Chemotherapie; dMMR/MSI-H: Pembrolizumab Monotherapie; Progression ohne Biomarker: FOLFOX oder Best Supportive Care; Zweitlinie biomarkergeführt (IDH1, FGFR2, BRAF V600E, HER2, Fusionen).</w:t>
      </w:r>
    </w:p>
    <w:p>
      <w:r>
        <w:rPr>
          <w:b/>
          <w:sz w:val="19"/>
        </w:rPr>
        <w:t xml:space="preserve">Übertragbarkeit: </w:t>
      </w:r>
      <w:r>
        <w:rPr>
          <w:sz w:val="19"/>
        </w:rPr>
        <w:t>USA/ASCO, internationale Evidenzsynthese, in Deutschland durch AMNOG-Bewertung und Zertifizierung anwendbar</w:t>
      </w:r>
    </w:p>
    <w:p>
      <w:r>
        <w:rPr>
          <w:color w:val="5A7D3A"/>
          <w:sz w:val="18"/>
        </w:rPr>
        <w:t>https://pubmed.ncbi.nlm.nih.gov/42874012/</w:t>
      </w:r>
    </w:p>
    <w:p>
      <w:pPr>
        <w:pStyle w:val="Heading2"/>
      </w:pPr>
      <w:r>
        <w:t>Geburtskohorten-Effekt erklärt Anstieg des Gebärmutterkrebses weltweit</w:t>
      </w:r>
    </w:p>
    <w:p>
      <w:r>
        <w:rPr>
          <w:i/>
          <w:color w:val="666666"/>
          <w:sz w:val="18"/>
        </w:rPr>
        <w:t>Kelly KP et al.  ·  J Natl Cancer Inst  ·  14.10.2026  ·  PMID 42872484</w:t>
      </w:r>
    </w:p>
    <w:p>
      <w:r>
        <w:t>Alter-Periode-Kohortenanalyse von Inzidenztrends des Endometriumkarzinoms bei Frauen 30–84 Jahren aus 24 Ländern (1998–2017) mit Fokus auf Geburtskohorten-Effekte.</w:t>
      </w:r>
    </w:p>
    <w:p>
      <w:r>
        <w:rPr>
          <w:b/>
        </w:rPr>
        <w:t xml:space="preserve">Ergebnis: </w:t>
      </w:r>
      <w:r>
        <w:t>1998–2017 stieg Inzidenz in 13 von 24 Ländern, schnellster Anstieg Thailand (+3,58%/Jahr, 95%-KI 2,78–4,38), Belarus (+3,32%, 3,06–3,57), Türkiye (+3,01%, 2,35–3,67); sank in Österreich (-1,57%) und Finnland (-0,76%). Geburtskohorten-Effekt detektiert in 15 Ländern. Kohorten-Ratenratios: Vereinigtes Königreich 3,45-fach höher (1983 vs. 1953, 95%-KI 2,67–4,46), Thailand 3,08-fach, Belarus 3,03-fach. Steilster Anstieg bei Frauen 30–34 Jahren.</w:t>
      </w:r>
    </w:p>
    <w:p>
      <w:r>
        <w:rPr>
          <w:b/>
          <w:sz w:val="19"/>
        </w:rPr>
        <w:t xml:space="preserve">Übertragbarkeit: </w:t>
      </w:r>
      <w:r>
        <w:rPr>
          <w:sz w:val="19"/>
        </w:rPr>
        <w:t>Internationale Krebsregisterdaten, Kohortenperspektive identifiziert frühe Lebenszeitfaktoren</w:t>
      </w:r>
    </w:p>
    <w:p>
      <w:r>
        <w:rPr>
          <w:color w:val="5A7D3A"/>
          <w:sz w:val="18"/>
        </w:rPr>
        <w:t>https://pubmed.ncbi.nlm.nih.gov/42872484/</w:t>
      </w:r>
    </w:p>
    <w:p>
      <w:pPr>
        <w:pStyle w:val="Heading2"/>
      </w:pPr>
      <w:r>
        <w:t>Genomische Biomarker vorhersagen Carboplatin-Ansprechen beim Mammakarzinom</w:t>
      </w:r>
    </w:p>
    <w:p>
      <w:r>
        <w:rPr>
          <w:i/>
          <w:color w:val="666666"/>
          <w:sz w:val="18"/>
        </w:rPr>
        <w:t>Pladsen AV et al.  ·  Clin Cancer Res  ·  14.10.2026  ·  PMID 42870529</w:t>
      </w:r>
    </w:p>
    <w:p>
      <w:r>
        <w:t>Prospektive randomisierte neoadjuvante Studie mit 187 Patienten (Norwegen), die DNA-basierte Biomarker (LOH-Fraktion, HRD-Status) zur Vorhersage des Carboplatin-Ansprechens bei HR+ und triple-negativem Brustkrebs evaluierte.</w:t>
      </w:r>
    </w:p>
    <w:p>
      <w:r>
        <w:rPr>
          <w:b/>
        </w:rPr>
        <w:t xml:space="preserve">Ergebnis: </w:t>
      </w:r>
      <w:r>
        <w:t>Triple-negativ: pathologische Komplettremission (pCR) 69% mit Carboplatin vs. 43% ohne (p=0,036), ereignisfreies Überleben signifikant verlängert (p=0,017). Bei niedrigem LOH-Anteil besserte Carboplatin ereignisfreies Überleben (p=0,007). HR+: pCR 15% vs. 11% (p=0,59), aber niedriges Residualtumorvolumen stieg von 16% auf 35% (p=0,033). HRD-positive HR+-Tumoren: 5/8 pCR mit vs. 4/47 ohne Carboplatin (p=0,002).</w:t>
      </w:r>
    </w:p>
    <w:p>
      <w:r>
        <w:rPr>
          <w:b/>
          <w:sz w:val="19"/>
        </w:rPr>
        <w:t xml:space="preserve">Übertragbarkeit: </w:t>
      </w:r>
      <w:r>
        <w:rPr>
          <w:sz w:val="19"/>
        </w:rPr>
        <w:t>Norwegische Universitätsklinik, vergleichbares europäisches Gesundheitssystem</w:t>
      </w:r>
    </w:p>
    <w:p>
      <w:r>
        <w:rPr>
          <w:color w:val="5A7D3A"/>
          <w:sz w:val="18"/>
        </w:rPr>
        <w:t>https://pubmed.ncbi.nlm.nih.gov/42870529/</w:t>
      </w:r>
    </w:p>
    <w:p>
      <w:pPr>
        <w:pStyle w:val="Heading1"/>
      </w:pPr>
      <w:r>
        <w:t>Aufgenommen am 17.10.2026</w:t>
      </w:r>
    </w:p>
    <w:p>
      <w:pPr>
        <w:pStyle w:val="Heading2"/>
      </w:pPr>
      <w:r>
        <w:t>Camrelizumab + Docetaxel/Carboplatin verbessert pathologische Komplettremission bei triple-negativem Brustkrebs</w:t>
      </w:r>
    </w:p>
    <w:p>
      <w:r>
        <w:rPr>
          <w:i/>
          <w:color w:val="666666"/>
          <w:sz w:val="18"/>
        </w:rPr>
        <w:t>Jiao D et al.  ·  Ann Oncol  ·  16.10.2026  ·  PMID 42887596</w:t>
      </w:r>
    </w:p>
    <w:p>
      <w:r>
        <w:t>Randomisierte Phase-III-Studie (China, 352 Patienten) zum Vergleich von Chemotherapie allein versus kombiniert mit dem PD-L1-Inhibitor Camrelizumab als neoadjuvante Therapie bei Stadien II-III triple-negativem Brustkrebs.</w:t>
      </w:r>
    </w:p>
    <w:p>
      <w:r>
        <w:rPr>
          <w:b/>
        </w:rPr>
        <w:t xml:space="preserve">Ergebnis: </w:t>
      </w:r>
      <w:r>
        <w:t>Pathologische Komplettremissionsrate (pCR) 57,5% unter Camrelizumab+Chemotherapie vs. 45,4% unter Chemotherapie allein (absoluter Unterschied 12,2%, p=0,014). Grad-3-4-Nebenwirkungen 24,9% vs. 21,8%; keine therapiebezogenen Todesfälle. Die Anthrazyklin-freie Kombination war gut verträglich.</w:t>
      </w:r>
    </w:p>
    <w:p>
      <w:r>
        <w:rPr>
          <w:b/>
          <w:sz w:val="19"/>
        </w:rPr>
        <w:t xml:space="preserve">Übertragbarkeit: </w:t>
      </w:r>
      <w:r>
        <w:rPr>
          <w:sz w:val="19"/>
        </w:rPr>
        <w:t>Neue Therapieoption für deutsches Gesundheitssystem, vergleichbare Studienqualität; Zulassung erforderlich.</w:t>
      </w:r>
    </w:p>
    <w:p>
      <w:r>
        <w:rPr>
          <w:color w:val="5A7D3A"/>
          <w:sz w:val="18"/>
        </w:rPr>
        <w:t>https://pubmed.ncbi.nlm.nih.gov/42887596/</w:t>
      </w:r>
    </w:p>
    <w:p>
      <w:pPr>
        <w:pStyle w:val="Heading2"/>
      </w:pPr>
      <w:r>
        <w:t>Firmonertinib zeigt hohe Ansprechrate bei seltenen EGFR-Mutationen in Lungenkrebs</w:t>
      </w:r>
    </w:p>
    <w:p>
      <w:r>
        <w:rPr>
          <w:i/>
          <w:color w:val="666666"/>
          <w:sz w:val="18"/>
        </w:rPr>
        <w:t>Le X et al.  ·  Cancer Cell  ·  16.10.2026  ·  PMID 42887497</w:t>
      </w:r>
    </w:p>
    <w:p>
      <w:r>
        <w:t>Phase-1b-Studie (FURTHER, multinationales Setting) mit 47 Patienten zu Firmonertinib, einem mutant-selektiven EGFR-TKI mit Gehirngängigkeit, bei fortgeschrittenem NSCLC mit EGFR-PACC-Mutationen.</w:t>
      </w:r>
    </w:p>
    <w:p>
      <w:r>
        <w:rPr>
          <w:b/>
        </w:rPr>
        <w:t xml:space="preserve">Ergebnis: </w:t>
      </w:r>
      <w:r>
        <w:t>Bei 160 mg: objektive Ansprechrate (ORR) 43%, medianes progressionsfreies Überleben (PFS) 11,1 Monate. Bei 240 mg: ORR 68%, medianes PFS 16,0 Monate. Bei Patienten mit Hirnmetastasen intranaale ORR 47% (8/17). Nebenwirkungen managebar, Dosisreduktionen 19-24%, kein Therapieabbruch wegen Toxizität.</w:t>
      </w:r>
    </w:p>
    <w:p>
      <w:r>
        <w:rPr>
          <w:b/>
          <w:sz w:val="19"/>
        </w:rPr>
        <w:t xml:space="preserve">Übertragbarkeit: </w:t>
      </w:r>
      <w:r>
        <w:rPr>
          <w:sz w:val="19"/>
        </w:rPr>
        <w:t>Seltene Mutationsgruppe; Übertragbarkeit auf Deutschland nach Zulassung gegeben.</w:t>
      </w:r>
    </w:p>
    <w:p>
      <w:r>
        <w:rPr>
          <w:color w:val="5A7D3A"/>
          <w:sz w:val="18"/>
        </w:rPr>
        <w:t>https://pubmed.ncbi.nlm.nih.gov/42887497/</w:t>
      </w:r>
    </w:p>
    <w:p>
      <w:pPr>
        <w:pStyle w:val="Heading2"/>
      </w:pPr>
      <w:r>
        <w:t>Lazertinib-Fortsetzung mit Chemotherapie nach Progression wirksam bei EGFR-mutantem Lungenkrebs</w:t>
      </w:r>
    </w:p>
    <w:p>
      <w:r>
        <w:rPr>
          <w:i/>
          <w:color w:val="666666"/>
          <w:sz w:val="18"/>
        </w:rPr>
        <w:t>Hong MH et al.  ·  Eur J Cancer  ·  08.10.2026  ·  PMID 42887461</w:t>
      </w:r>
    </w:p>
    <w:p>
      <w:r>
        <w:t>Phase-II-Studie (LUCAS, Südkorea, 86 Patienten) zur Kombination von Lazertinib mit Platin-Pemetrexed nach Progression unter vorherigem Lazertinib bei fortgeschrittenem EGFR-mutantem NSCLC.</w:t>
      </w:r>
    </w:p>
    <w:p>
      <w:r>
        <w:rPr>
          <w:b/>
        </w:rPr>
        <w:t xml:space="preserve">Ergebnis: </w:t>
      </w:r>
      <w:r>
        <w:t>Medianes PFS 9,5 Monate (p=0,017 gegen Nullhypothese 6,0 Monate). Medianes Gesamtüberleben (OS) 15,9 Monate. Objektive Ansprechrate 36,0%. Bei Patienten mit Hirnmetastasen medianes intrakranielles PFS 9,9 Monate mit seltener isolierter intrakranieller Progression. Grad-≥3-Nebenwirkungen 69,8%, überwiegend hämatologisch.</w:t>
      </w:r>
    </w:p>
    <w:p>
      <w:r>
        <w:rPr>
          <w:b/>
          <w:sz w:val="19"/>
        </w:rPr>
        <w:t xml:space="preserve">Übertragbarkeit: </w:t>
      </w:r>
      <w:r>
        <w:rPr>
          <w:sz w:val="19"/>
        </w:rPr>
        <w:t>Südkorea, vergleichbares Versicherungssystem; Lazertinib in Deutschland verfügbar.</w:t>
      </w:r>
    </w:p>
    <w:p>
      <w:r>
        <w:rPr>
          <w:color w:val="5A7D3A"/>
          <w:sz w:val="18"/>
        </w:rPr>
        <w:t>https://pubmed.ncbi.nlm.nih.gov/42887461/</w:t>
      </w:r>
    </w:p>
    <w:p>
      <w:pPr>
        <w:pStyle w:val="Heading2"/>
      </w:pPr>
      <w:r>
        <w:t>Finanzielle Navigationsberatung reduziert finanzielle Belastung bei Krebspatienten um 8 Punkte</w:t>
      </w:r>
    </w:p>
    <w:p>
      <w:r>
        <w:rPr>
          <w:i/>
          <w:color w:val="666666"/>
          <w:sz w:val="18"/>
        </w:rPr>
        <w:t>Wheeler SB et al.  ·  J Clin Oncol  ·  16.10.2026  ·  PMID 42885694</w:t>
      </w:r>
    </w:p>
    <w:p>
      <w:r>
        <w:t>Pragmatische Hybrid-Implementierungsstudie (USA, 8 Zentren: 4 ländlich, 4 urban; 179 Patienten mit finanzieller Belastung) zur Wirksamkeit von spezialisierter Finanzierungsberatung für Krebspatienten.</w:t>
      </w:r>
    </w:p>
    <w:p>
      <w:r>
        <w:rPr>
          <w:b/>
        </w:rPr>
        <w:t xml:space="preserve">Ergebnis: </w:t>
      </w:r>
      <w:r>
        <w:t>FACIT-COST-Punktzahl verbesserte sich signifikant um 8,1 Punkte (SD 10,0; p&lt;0,0001), von 6,6 (vor) auf 14,7 (nach). Ansprechen bei ländlichen Orten: +6,3 Punkte; bei urbanen: +9,3 Punkte. Interventionsnutzung hoch (73% der positiv gescreenten Patienten). Intervention als akzeptabel, responsiv und zeitgerecht bewertet.</w:t>
      </w:r>
    </w:p>
    <w:p>
      <w:r>
        <w:rPr>
          <w:b/>
          <w:sz w:val="19"/>
        </w:rPr>
        <w:t xml:space="preserve">Übertragbarkeit: </w:t>
      </w:r>
      <w:r>
        <w:rPr>
          <w:sz w:val="19"/>
        </w:rPr>
        <w:t>USA-Versorgungssystem; finanztoxisches Belastungsmodell auf deutsche Versorgung begrenzt übertragbar.</w:t>
      </w:r>
    </w:p>
    <w:p>
      <w:r>
        <w:rPr>
          <w:color w:val="5A7D3A"/>
          <w:sz w:val="18"/>
        </w:rPr>
        <w:t>https://pubmed.ncbi.nlm.nih.gov/42885694/</w:t>
      </w:r>
    </w:p>
    <w:p>
      <w:pPr>
        <w:pStyle w:val="Heading2"/>
      </w:pPr>
      <w:r>
        <w:t>QOPI-Qualitätskertifizierung in Spanien verbesser Patientenzufriedenheit und Schmerzmanagement</w:t>
      </w:r>
    </w:p>
    <w:p>
      <w:r>
        <w:rPr>
          <w:i/>
          <w:color w:val="666666"/>
          <w:sz w:val="18"/>
        </w:rPr>
        <w:t>García-Foncillas J et al.  ·  JCO Oncol Pract  ·  16.10.2026  ·  PMID 42885681</w:t>
      </w:r>
    </w:p>
    <w:p>
      <w:r>
        <w:t>Spanien, longitudinale Beschreibungsstudie über 10 Jahre QOPI-Implementierung (2015–2025) in onkologischen Praxen zur Bewertung von Qualitätsmaßnahmen und Zertifizierungsergebnissen über wiederholte Messzyklen.</w:t>
      </w:r>
    </w:p>
    <w:p>
      <w:r>
        <w:rPr>
          <w:b/>
        </w:rPr>
        <w:t xml:space="preserve">Ergebnis: </w:t>
      </w:r>
      <w:r>
        <w:t>Zertifizierte Praxen zeigten Verbesserungen in patientenzentrierten Maßnahmen nach Zertifizierung: emotionales Wohlbefinden 75,6% → 85,2%, Unfruchtbarkeitsrisiko-Gespräche 70,3% → 78,7%, angemessenes Schmerzmanagement 83,6% → 89,2%, Schmerzerfassung 83,6% → 89,5%. Benchmarking zeigte Verschiebung dieser Maßnahmen über QOPI-Durchschnitt nach Zertifizierung. Persistierende Verbesserungschancen in Therapieverifikation und Patienteninformation.</w:t>
      </w:r>
    </w:p>
    <w:p>
      <w:r>
        <w:rPr>
          <w:b/>
          <w:sz w:val="19"/>
        </w:rPr>
        <w:t xml:space="preserve">Übertragbarkeit: </w:t>
      </w:r>
      <w:r>
        <w:rPr>
          <w:sz w:val="19"/>
        </w:rPr>
        <w:t>Spanien, vergleichbares Sozialversicherungssystem; QOPI-Modell auf deutsche Onkologie-Zertifizierung übertragbar.</w:t>
      </w:r>
    </w:p>
    <w:p>
      <w:r>
        <w:rPr>
          <w:color w:val="5A7D3A"/>
          <w:sz w:val="18"/>
        </w:rPr>
        <w:t>https://pubmed.ncbi.nlm.nih.gov/42885681/</w:t>
      </w:r>
    </w:p>
    <w:p>
      <w:pPr>
        <w:pStyle w:val="Heading2"/>
      </w:pPr>
      <w:r>
        <w:t>NTCP-Modell für Speiseröhrentoxizität optimiert Protontherapie-Auswahl bei Lungenkrebs</w:t>
      </w:r>
    </w:p>
    <w:p>
      <w:r>
        <w:rPr>
          <w:i/>
          <w:color w:val="666666"/>
          <w:sz w:val="18"/>
        </w:rPr>
        <w:t>Wijsman R et al.  ·  Radiother Oncol  ·  15.10.2026  ·  PMID 42880415</w:t>
      </w:r>
    </w:p>
    <w:p>
      <w:r>
        <w:t>Niederlande, prospektive Validierungsstudie an 937 Patienten zur Überprüfung und Aktualisierung eines NTCP-Modells (normal tissue complication probability) zur Vorhersage von Grad-≥2-Speiseröhrentoxizität unter Radiotherapie bei Lungenkrebs.</w:t>
      </w:r>
    </w:p>
    <w:p>
      <w:r>
        <w:rPr>
          <w:b/>
        </w:rPr>
        <w:t xml:space="preserve">Ergebnis: </w:t>
      </w:r>
      <w:r>
        <w:t>Aktualisiertes Modell mit mittlerer Oesophagusdosis (MOD) und Gesamtbehandlungszeit (OTT) als Prädiktoren erreichte optimism-korrigierte AUC 0,75 mit Kalibrationsabfall 1,26. Heterogenität der Modellperformance über Kohorten I²=0%. Modell in nationales Indikationsprotokoll für Protontherapie-Auswahl aufgenommen.</w:t>
      </w:r>
    </w:p>
    <w:p>
      <w:r>
        <w:rPr>
          <w:b/>
          <w:sz w:val="19"/>
        </w:rPr>
        <w:t xml:space="preserve">Übertragbarkeit: </w:t>
      </w:r>
      <w:r>
        <w:rPr>
          <w:sz w:val="19"/>
        </w:rPr>
        <w:t>Niederländische Klinikdaten; direkt anwendbar auf deutsche Protontherapie-Zentren.</w:t>
      </w:r>
    </w:p>
    <w:p>
      <w:r>
        <w:rPr>
          <w:color w:val="5A7D3A"/>
          <w:sz w:val="18"/>
        </w:rPr>
        <w:t>https://pubmed.ncbi.nlm.nih.gov/42880415/</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