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Onkologie</w:t>
      </w:r>
    </w:p>
    <w:p>
      <w:r>
        <w:rPr>
          <w:i/>
          <w:color w:val="666666"/>
          <w:sz w:val="18"/>
        </w:rPr>
        <w:t>Stand: 23.09.2026  |  87 Studien  |  onkologie.m-vf.de</w:t>
      </w:r>
    </w:p>
    <w:p>
      <w:pPr>
        <w:pStyle w:val="Heading1"/>
      </w:pPr>
      <w:r>
        <w:t>Aufgenommen am 23.09.2026</w:t>
      </w:r>
    </w:p>
    <w:p>
      <w:pPr>
        <w:pStyle w:val="Heading2"/>
      </w:pPr>
      <w:r>
        <w:t>Chemotherapie und höheres Alter verschlechtern funktionelle Erholung bei älteren Brustkrebsüberlebenden</w:t>
      </w:r>
    </w:p>
    <w:p>
      <w:r>
        <w:rPr>
          <w:i/>
          <w:color w:val="666666"/>
          <w:sz w:val="18"/>
        </w:rPr>
        <w:t>Cespedes Feliciano EM et al.  ·  J Natl Cancer Inst  ·  23.09.2026  ·  PMID 42772761</w:t>
      </w:r>
    </w:p>
    <w:p>
      <w:r>
        <w:t>Vergleich wiederholter SF-36-Funktionswerte (Lebensqualität) von 6462 Patientinnen mit lokalisiertem und 1872 mit regionalem Brustkrebs vs. 37 196 krebsfreie altersgerechte Kontrollen über 15 Jahre aus der Women's Health Initiative.</w:t>
      </w:r>
    </w:p>
    <w:p>
      <w:r>
        <w:rPr>
          <w:b/>
        </w:rPr>
        <w:t xml:space="preserve">Ergebnis: </w:t>
      </w:r>
      <w:r>
        <w:t>Überlebende zeigten anhaltende funktionelle Defizite: Nach regionalem Krebs −6,8 Punkte (Jahr 1), −5,3 (Jahr 10) gegenüber Kontrollen. Chemotherapie verschärfte frühe Rückgänge (−7,1 Jahr 1). Frauen unter 70 Jahren zeigten bessere Erholung. Bessere Prediagnose-Lebensstiländerungen korrelierten mit größerer funktioneller Reserve und Erholungsfähigkeit.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US-Daten mit großem Stichprobenumfang; Prinzipien der Unterstützung bei funktioneller Rehabilitation übertragbar.</w:t>
      </w:r>
    </w:p>
    <w:p>
      <w:r>
        <w:rPr>
          <w:color w:val="5A7D3A"/>
          <w:sz w:val="18"/>
        </w:rPr>
        <w:t>https://pubmed.ncbi.nlm.nih.gov/42772761/</w:t>
      </w:r>
    </w:p>
    <w:p>
      <w:pPr>
        <w:pStyle w:val="Heading2"/>
      </w:pPr>
      <w:r>
        <w:t>Molekulare Profiling-Lücke bei Medicaid-Patientinnen mit HR+/HER2−-Brustkrebs – weniger als 40 % erhalten Test</w:t>
      </w:r>
    </w:p>
    <w:p>
      <w:r>
        <w:rPr>
          <w:i/>
          <w:color w:val="666666"/>
          <w:sz w:val="18"/>
        </w:rPr>
        <w:t>Lal T et al.  ·  JCO Oncol Pract  ·  22.09.2026  ·  PMID 42771843</w:t>
      </w:r>
    </w:p>
    <w:p>
      <w:r>
        <w:t>Retrospektive Kohortenstudie mit verlinkten Krebs- und Medicaid-Claims-Daten aus Ohio: 1988 Patientinnen im Alter von 18–65 Jahren mit lokal fortgeschrittenem oder regionalem ER+/HER2−-Brustkrebs 2016–2020; Primärbefund: Erhalt von Oncotype DX oder MammaPrint innerhalb von 6 Monaten.</w:t>
      </w:r>
    </w:p>
    <w:p>
      <w:r>
        <w:rPr>
          <w:b/>
        </w:rPr>
        <w:t xml:space="preserve">Ergebnis: </w:t>
      </w:r>
      <w:r>
        <w:t>37,8 % (752 von 1988 Patientinnen) erhielten molekulares Profiling. Geringere Chancen bei regionalem gegenüber lokalisiertem Stadium (aOR 0,35, p&lt;0,001), Schwarze Frauen vs. Weiße (aOR 0,72), Einkommen über Armutsgrenze (aOR 0,73) und Medicaid-Langzeitpflege-Einschreiber (aOR 0,47). Verheiratet mit höherem Profiling (aOR 1,30).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USA-Medicaid-Daten; Versorgungsungleichheiten ähnlich auch in Deutschland bei gesetzlicher Versicherung – Implementierungslücke bei Risikogruppen.</w:t>
      </w:r>
    </w:p>
    <w:p>
      <w:r>
        <w:rPr>
          <w:color w:val="5A7D3A"/>
          <w:sz w:val="18"/>
        </w:rPr>
        <w:t>https://pubmed.ncbi.nlm.nih.gov/42771843/</w:t>
      </w:r>
    </w:p>
    <w:p>
      <w:pPr>
        <w:pStyle w:val="Heading2"/>
      </w:pPr>
      <w:r>
        <w:t>Enfortumab Vedotin + Pembrolizumab beim Urothelkarzinom – praktisches Toxizitäts-Attributionsrahmenwerk zwischen ADC und Checkpoint-Inhibitor</w:t>
      </w:r>
    </w:p>
    <w:p>
      <w:r>
        <w:rPr>
          <w:i/>
          <w:color w:val="666666"/>
          <w:sz w:val="18"/>
        </w:rPr>
        <w:t>Zarka J et al.  ·  Oncologist  ·  21.09.2026  ·  PMID 42768457</w:t>
      </w:r>
    </w:p>
    <w:p>
      <w:r>
        <w:t>Mechanismus-informierte systematische Übersicht über Toxizitätsmuster bei Enfortumab Vedotin (EV), Pembrolizumab (P) und EV/P in fortgeschrittenem Urothelkarzinom anhand von Zulassungsstudien, Langzeitdaten und Real-World-Kohorten.</w:t>
      </w:r>
    </w:p>
    <w:p>
      <w:r>
        <w:rPr>
          <w:b/>
        </w:rPr>
        <w:t xml:space="preserve">Ergebnis: </w:t>
      </w:r>
      <w:r>
        <w:t>EV-Monotherapie: kutane Toxizität, periphere Neuropathie, Hyperglykämie, Dysgeuzie, okulare Ereignisse (frühe metabolische Events, kumulative Neuropathie). Pembrolizumab: niedrigere Hochgrad-Toxizität, aber Immune-Checkpoint-induzierte Endokrinopathien, Pneumonitis, Hepatitis, Kolitis, Nephritis. Kombination EV/P: vorhersehbare Überlappung dieser Toxizitätsdomänen; praktisches Attributionsrahmenwerk (EV-dominant, Immune-dominant, Überlappung, hohes Risiko mit Therapieunterbrechung).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Mayo-Klinik-Kohorte; Toxizitäts-Management-Schemata und Attributionsrahmen für europäische/deutsche Urothelkarzinom-Praxen anwendbar.</w:t>
      </w:r>
    </w:p>
    <w:p>
      <w:r>
        <w:rPr>
          <w:color w:val="5A7D3A"/>
          <w:sz w:val="18"/>
        </w:rPr>
        <w:t>https://pubmed.ncbi.nlm.nih.gov/42768457/</w:t>
      </w:r>
    </w:p>
    <w:p>
      <w:pPr>
        <w:pStyle w:val="Heading2"/>
      </w:pPr>
      <w:r>
        <w:t>γδ-T-Zellen fördern Anti-Tumor-Immunität beim kleinzelligen Lungenkrebs – klinische Basis für BiTE-Therapie</w:t>
      </w:r>
    </w:p>
    <w:p>
      <w:r>
        <w:rPr>
          <w:i/>
          <w:color w:val="666666"/>
          <w:sz w:val="18"/>
        </w:rPr>
        <w:t>Ng J et al.  ·  Cancer Cell  ·  18.09.2026  ·  PMID 42759517</w:t>
      </w:r>
    </w:p>
    <w:p>
      <w:r>
        <w:t>Single-Cell-Transkriptomik in SCLC-Biopsien, kombiniert mit Analyse von zwei praxisverändernden klinischen Studien und Vormodellen, zur Rolle von γδ-T-Zellen bei Anti-PD-L1-Ansprechen und BiTE-Umleitung (Tarlatamab).</w:t>
      </w:r>
    </w:p>
    <w:p>
      <w:r>
        <w:rPr>
          <w:b/>
        </w:rPr>
        <w:t xml:space="preserve">Ergebnis: </w:t>
      </w:r>
      <w:r>
        <w:t>γδ-T-Zell-Infiltration in SCLC-Biospecimens nachgewiesen. Trotz PD-1-Expression behielten γδ-T-Zellen zytotoxisches Transkriptionsprofil. Hohe γδ-T-Zell-Infiltration sagte verbessertes Ansprechen auf Anti-PD-L1 in zwei Studien voraus. Vormodelle zeigten γδ-T-Zellen wirksam bei Tarlatamab-umgeleiteter SCLC-Abtötung; Zoledronsäure sensibilisierte SCLC-Zellen für γδ-T-Zell-vermittelte Tötung.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Australisch-deutsche Kohorte; Grundlagenbefund mit erkennbarem Weg zu klinischen BiTE- und Kombinationsansätzen.</w:t>
      </w:r>
    </w:p>
    <w:p>
      <w:r>
        <w:rPr>
          <w:color w:val="5A7D3A"/>
          <w:sz w:val="18"/>
        </w:rPr>
        <w:t>https://pubmed.ncbi.nlm.nih.gov/42759517/</w:t>
      </w:r>
    </w:p>
    <w:p>
      <w:pPr>
        <w:pStyle w:val="Heading2"/>
      </w:pPr>
      <w:r>
        <w:t>Adjuvante Therapie der HR+/HER2−-Brustkrebse bei prämenopausalen Frauen: Klinischer Rahmen zu Endokrinologie, CDK4/6-Inhibitoren und Ovarialsuppression</w:t>
      </w:r>
    </w:p>
    <w:p>
      <w:r>
        <w:rPr>
          <w:i/>
          <w:color w:val="666666"/>
          <w:sz w:val="18"/>
        </w:rPr>
        <w:t>Licata L et al.  ·  Ann Oncol  ·  17.09.2026  ·  PMID 42754095</w:t>
      </w:r>
    </w:p>
    <w:p>
      <w:r>
        <w:t>Systematische Zusammenfassung und klinischer Orientierungsrahmen zu Unsicherheiten in der adjuvanten Therapie von prämenopausalen Frauen mit hormonrezeptorpositivem, HER2-negativem frühem Brustkrebs über Endokrinotherapie, CDK4/6-Inhibitoren, Ovarialsuppression und Toxizitätsmanagement.</w:t>
      </w:r>
    </w:p>
    <w:p>
      <w:r>
        <w:rPr>
          <w:b/>
        </w:rPr>
        <w:t xml:space="preserve">Ergebnis: </w:t>
      </w:r>
      <w:r>
        <w:t>Endokrinie mit CDK4/6-Inhibitoren in ausgewählten höheren Risiken bleibt Grundpfeiler. Offene Fragen: optimale Ovarialsuppression, Interpretation genomischer Assays für Chemotherapieentscheidungen, Auswahl für verlängerte Endokrinotherapie, Adhärenz und Schwangerschaftsprobleme. Der Rahmen soll individualisierte Strategien für diese Population unterstützen.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und internationale Expertise; Strukturen übertragbar auf deutsches Zentrenmanagement.</w:t>
      </w:r>
    </w:p>
    <w:p>
      <w:r>
        <w:rPr>
          <w:color w:val="5A7D3A"/>
          <w:sz w:val="18"/>
        </w:rPr>
        <w:t>https://pubmed.ncbi.nlm.nih.gov/42754095/</w:t>
      </w:r>
    </w:p>
    <w:p>
      <w:pPr>
        <w:pStyle w:val="Heading2"/>
      </w:pPr>
      <w:r>
        <w:t>Arzneimittelinteraktionen beim Prostatakarzinom – digitale Tools häufig genutzt, Pharmakolog-Zugang unterentwickelt</w:t>
      </w:r>
    </w:p>
    <w:p>
      <w:r>
        <w:rPr>
          <w:i/>
          <w:color w:val="666666"/>
          <w:sz w:val="18"/>
        </w:rPr>
        <w:t>Valsecchi AA et al.  ·  Oncologist  ·  09.09.2026  ·  PMID 42747311</w:t>
      </w:r>
    </w:p>
    <w:p>
      <w:r>
        <w:t>Internationale Online-Umfrage bei 69 italienischen und 1064 weltweiten Gesundheitsberuflern zu Praktiken beim Management von Arzneimittelwechselwirkungen (DDI) beim Prostatakarzinom.</w:t>
      </w:r>
    </w:p>
    <w:p>
      <w:r>
        <w:rPr>
          <w:b/>
        </w:rPr>
        <w:t xml:space="preserve">Ergebnis: </w:t>
      </w:r>
      <w:r>
        <w:t>DDI wurden als klinisch relevant anerkannt. Digitale Werkzeuge (Online-Datenbanken, Apps) am häufigsten; KI-Tools selten. Italienische Onkologen berichteten begrenzte Vor-Ort-Pharmacolog-Unterstützung (29 %), weltweit 76 %. Hauptbarrieren: Zeitdruck, unsichere Quellenzuverlässigkeit, Mangel an Schulung. Italienische Ärzte forderten mehr Pharmacolog-Zugang; globale Kohorten: institutionelle Schulung.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Universitätskliniken haben oft Pharmakolog-Support; zentrale Erkenntnisse zur DDI-Managementlücke und Schulungsbedarf übertragbar.</w:t>
      </w:r>
    </w:p>
    <w:p>
      <w:r>
        <w:rPr>
          <w:color w:val="5A7D3A"/>
          <w:sz w:val="18"/>
        </w:rPr>
        <w:t>https://pubmed.ncbi.nlm.nih.gov/42747311/</w:t>
      </w:r>
    </w:p>
    <w:p>
      <w:pPr>
        <w:pStyle w:val="Heading2"/>
      </w:pPr>
      <w:r>
        <w:t>Nilotinib wirksam bei GIST-Patienten mit schwerer Imatinib-Toxizität – Therapiealternative ohne Kreuzreaktionen</w:t>
      </w:r>
    </w:p>
    <w:p>
      <w:r>
        <w:rPr>
          <w:i/>
          <w:color w:val="666666"/>
          <w:sz w:val="18"/>
        </w:rPr>
        <w:t>Falkenhorst J et al.  ·  Oncologist  ·  09.09.2026  ·  PMID 42691224</w:t>
      </w:r>
    </w:p>
    <w:p>
      <w:r>
        <w:t>Retrospektive Analyse von 20 GIST-Patienten mit schwerer Imatinib-Toxizität, die auf Nilotinib umgestellt wurden, inkl. In-vitro-Testung an Zelllinien mit KIT-Mutationen.</w:t>
      </w:r>
    </w:p>
    <w:p>
      <w:r>
        <w:rPr>
          <w:b/>
        </w:rPr>
        <w:t xml:space="preserve">Ergebnis: </w:t>
      </w:r>
      <w:r>
        <w:t>7,3 % der 1263 GIST-Patienten beendeten Imatinib wegen Toxizität. In 20 Patienten mit Nilotinib-Therapie zeigten sich keine Kreuzreaktivitäten mit Imatinib: Bei KIT-Exon-11-Mutationen wirksam, bei Exon-9- oder imatinib-resistenten Mutationen nicht. Nilotinib ist damit eine wichtige Alternative für imatinib-sensitive GIST.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GIST-Zentren können diese Therapieoption bei Imatinib-Unverträglichkeit einsetzen.</w:t>
      </w:r>
    </w:p>
    <w:p>
      <w:r>
        <w:rPr>
          <w:color w:val="5A7D3A"/>
          <w:sz w:val="18"/>
        </w:rPr>
        <w:t>https://pubmed.ncbi.nlm.nih.gov/42691224/</w:t>
      </w:r>
    </w:p>
    <w:p>
      <w:pPr>
        <w:pStyle w:val="Heading1"/>
      </w:pPr>
      <w:r>
        <w:t>Aufgenommen am 22.09.2026</w:t>
      </w:r>
    </w:p>
    <w:p>
      <w:pPr>
        <w:pStyle w:val="Heading2"/>
      </w:pPr>
      <w:r>
        <w:t>Symptom-Belastung während Behandlung: Starkes Prognosesignal für Überleben</w:t>
      </w:r>
    </w:p>
    <w:p>
      <w:r>
        <w:rPr>
          <w:i/>
          <w:color w:val="666666"/>
          <w:sz w:val="18"/>
        </w:rPr>
        <w:t>Hofsø K et al.  ·  ESMO Open  ·  21.09.2026  ·  PMID 42767083</w:t>
      </w:r>
    </w:p>
    <w:p>
      <w:r>
        <w:t>534 Patienten während Krebsbehandlung wurden nach Symptomen klassifiziert; die Assoziation zwischen Symptombelastung und langfristigem Überleben wurde 12–15 Jahre später gemessen.</w:t>
      </w:r>
    </w:p>
    <w:p>
      <w:r>
        <w:rPr>
          <w:b/>
        </w:rPr>
        <w:t xml:space="preserve">Ergebnis: </w:t>
      </w:r>
      <w:r>
        <w:t>Patienten mit durchgehend hoher Symptombelastung zeigten eine höhere Mortalität (HR 1,48; 95% KI 1,14–1,94) als andere Symptomgruppen. Symptomklassen könnten zur Risikoschichtung herangezogen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Versicherungssystem und Onkologieversorgung vergleichbar mit Deutschland.</w:t>
      </w:r>
    </w:p>
    <w:p>
      <w:r>
        <w:rPr>
          <w:color w:val="5A7D3A"/>
          <w:sz w:val="18"/>
        </w:rPr>
        <w:t>https://pubmed.ncbi.nlm.nih.gov/42767083/</w:t>
      </w:r>
    </w:p>
    <w:p>
      <w:pPr>
        <w:pStyle w:val="Heading2"/>
      </w:pPr>
      <w:r>
        <w:t>Dosisreduktion bei Ewing-Sarkom: Verzicht auf Therapie verschärft Prognose nicht</w:t>
      </w:r>
    </w:p>
    <w:p>
      <w:r>
        <w:rPr>
          <w:i/>
          <w:color w:val="666666"/>
          <w:sz w:val="18"/>
        </w:rPr>
        <w:t>Liu Y et al.  ·  Eur J Cancer  ·  16.09.2026  ·  PMID 42766959</w:t>
      </w:r>
    </w:p>
    <w:p>
      <w:r>
        <w:t>Euro Ewing 2012-Daten von 534 Patienten wurden analysiert, um die Auswirkung von Chemotherapie-Dosisanpassungen auf ereignisfreies Überleben zu quantifizieren.</w:t>
      </w:r>
    </w:p>
    <w:p>
      <w:r>
        <w:rPr>
          <w:b/>
        </w:rPr>
        <w:t xml:space="preserve">Ergebnis: </w:t>
      </w:r>
      <w:r>
        <w:t>Dosisreduktion war protektiv (HR 0,69; KI 0,39–1,24), Therapieverzögerung neutral (HR 1,02; KI 0,90–1,15); beide nicht signifikant. Toxizitätsmanagement durch Dosisanpassung beeinträchtigt Prognose nicht wesentlich.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Studie, multinationale Kohorte, Ergebnisse übertragbar auf deutsches Versorgungssystem.</w:t>
      </w:r>
    </w:p>
    <w:p>
      <w:r>
        <w:rPr>
          <w:color w:val="5A7D3A"/>
          <w:sz w:val="18"/>
        </w:rPr>
        <w:t>https://pubmed.ncbi.nlm.nih.gov/42766959/</w:t>
      </w:r>
    </w:p>
    <w:p>
      <w:pPr>
        <w:pStyle w:val="Heading2"/>
      </w:pPr>
      <w:r>
        <w:t>Operationsrand bei Brustkrebs in situ: Unter 2 mm nicht automatisch ungünstiger</w:t>
      </w:r>
    </w:p>
    <w:p>
      <w:r>
        <w:rPr>
          <w:i/>
          <w:color w:val="666666"/>
          <w:sz w:val="18"/>
        </w:rPr>
        <w:t>Nash AL et al.  ·  J Clin Oncol  ·  21.09.2026  ·  PMID 42766806</w:t>
      </w:r>
    </w:p>
    <w:p>
      <w:r>
        <w:t>11.156 Frauen mit DCIS wurden nach Operationsrandbreite klassifiziert und lokales Rezidivrisiko gemessen; multivariables Cox-Modell nach klinischen Faktoren adjustiert.</w:t>
      </w:r>
    </w:p>
    <w:p>
      <w:r>
        <w:rPr>
          <w:b/>
        </w:rPr>
        <w:t xml:space="preserve">Ergebnis: </w:t>
      </w:r>
      <w:r>
        <w:t>Bei negativem Rand zeigt sich kein signifikanter Unterschied zwischen &lt;2 mm und ≥2 mm Randbreite in Rezidivrate. Nur in der Subgruppe &lt;50 Jahre war schmaler Rand ungünstiger. ORR Brusterhalt, Strahlentherapie, Alter, Hormonrezeptor und Tumor-Grade berücksichtigt.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Nationale Krebsdatenbank, vergleichbare Dokumentationsstandards zu deutschem Krebsregister.</w:t>
      </w:r>
    </w:p>
    <w:p>
      <w:r>
        <w:rPr>
          <w:color w:val="5A7D3A"/>
          <w:sz w:val="18"/>
        </w:rPr>
        <w:t>https://pubmed.ncbi.nlm.nih.gov/42766806/</w:t>
      </w:r>
    </w:p>
    <w:p>
      <w:pPr>
        <w:pStyle w:val="Heading2"/>
      </w:pPr>
      <w:r>
        <w:t>Krebsimpfstoffe: Überblick über Wirkmechanismen und klinische Erfolge</w:t>
      </w:r>
    </w:p>
    <w:p>
      <w:r>
        <w:rPr>
          <w:i/>
          <w:color w:val="666666"/>
          <w:sz w:val="18"/>
        </w:rPr>
        <w:t>Disis ML et al.  ·  JAMA  ·  21.09.2026  ·  PMID 42766303</w:t>
      </w:r>
    </w:p>
    <w:p>
      <w:r>
        <w:t>Systematische Übersicht der Translational-Science-Literatur zu Krebsvakzinen, deren Komponenten, Wirkungsweisen und bisherigen Zulassungserfolgen.</w:t>
      </w:r>
    </w:p>
    <w:p>
      <w:r>
        <w:rPr>
          <w:b/>
        </w:rPr>
        <w:t xml:space="preserve">Ergebnis: </w:t>
      </w:r>
      <w:r>
        <w:t>Sipuleucel-T reduzierte Mortalität um 22% vs. Placebo (HR 0,78; p=0,03). Talimogene laherparepvec erhöhte 6-Monats-Remissionsrate auf 16,3% vs. 2,1% (p&lt;0,001). mRNA-4157+Pembrolizumab verbesserte rezidivfreies Überleben bei Melanom (76,6% vs. 60%; HR 0,56; p=0,05). Nebenwirkungen überwiegend mild.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USA-Literaturübersicht, Mechanismen und Sicherheitsprofil universell, Verfügbarkeit in Deutschland an Zulassung/Nutzenbewertung gekoppelt.</w:t>
      </w:r>
    </w:p>
    <w:p>
      <w:r>
        <w:rPr>
          <w:color w:val="5A7D3A"/>
          <w:sz w:val="18"/>
        </w:rPr>
        <w:t>https://pubmed.ncbi.nlm.nih.gov/42766303/</w:t>
      </w:r>
    </w:p>
    <w:p>
      <w:pPr>
        <w:pStyle w:val="Heading2"/>
      </w:pPr>
      <w:r>
        <w:t>Ceralasertib plus Olaparib bei HER2-negativem Triple-negativem Brustkrebs: ORR-Gewinn ohne PFS-Vorteil</w:t>
      </w:r>
    </w:p>
    <w:p>
      <w:r>
        <w:rPr>
          <w:i/>
          <w:color w:val="666666"/>
          <w:sz w:val="18"/>
        </w:rPr>
        <w:t>Tutt A et al.  ·  Clin Cancer Res  ·  21.09.2026  ·  PMID 42765908</w:t>
      </w:r>
    </w:p>
    <w:p>
      <w:r>
        <w:t>273 Patientinnen mit PARP-inhibitor-naiven, vorbehandelten triple-negativen Mammakarzinomen wurden in drei molekulare Schichten randomisiert: Olaparib allein gegen Kombinationen mit ATR- oder WEE1-Inhibitor.</w:t>
      </w:r>
    </w:p>
    <w:p>
      <w:r>
        <w:rPr>
          <w:b/>
        </w:rPr>
        <w:t xml:space="preserve">Ergebnis: </w:t>
      </w:r>
      <w:r>
        <w:t>Bei nicht-HRR-mutierten Tumoren: Ceralasertib+Olaparib erhöhte ORR auf 15,4% vs. 3,9% (p=0,0425); PFS-Mediane aber 3,6 vs. 3,6 Monate (nicht signifikant). Adavosertib+Olaparib wurde wegen Toxizität abgebrochen.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einschl. Deutschland/Belgien, vergleichbare onkologische Versorgung, Ergebnis beschränkt: ORR-Gewinn ohne Überleben-Nutzen fraglich.</w:t>
      </w:r>
    </w:p>
    <w:p>
      <w:r>
        <w:rPr>
          <w:color w:val="5A7D3A"/>
          <w:sz w:val="18"/>
        </w:rPr>
        <w:t>https://pubmed.ncbi.nlm.nih.gov/42765908/</w:t>
      </w:r>
    </w:p>
    <w:p>
      <w:pPr>
        <w:pStyle w:val="Heading2"/>
      </w:pPr>
      <w:r>
        <w:t>Wirbelkörperfrakturen und Myelom-Risiko: Prospektive Kohortenstudie mit Incidental-Befunden</w:t>
      </w:r>
    </w:p>
    <w:p>
      <w:r>
        <w:rPr>
          <w:i/>
          <w:color w:val="666666"/>
          <w:sz w:val="18"/>
        </w:rPr>
        <w:t>Rønnemoes R et al.  ·  Leukemia  ·  18.09.2026  ·  PMID 42760387</w:t>
      </w:r>
    </w:p>
    <w:p>
      <w:r>
        <w:t>9.059 Personen aus bevölkerungsrepräsentativer dänischer Stichprobe erhielten CT-Scans; zufällig entdeckte Wirbelkörperfrakturen wurden als Myelom-Risikofaktor untersucht.</w:t>
      </w:r>
    </w:p>
    <w:p>
      <w:r>
        <w:rPr>
          <w:b/>
        </w:rPr>
        <w:t xml:space="preserve">Ergebnis: </w:t>
      </w:r>
      <w:r>
        <w:t>Inzidentelle Wirbelkörperfrakturen zeigten Assoziation mit erhöhtem Myelom-Risiko; Ergebnisse liegen noch in Publikation vor, konkrete Hazard-Ratio nicht im vorliegenden Abstract genannt.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nationale Bevölkerungsstudie, Diagnostik durch Standardbildgebung deutschem Standard entsprechend.</w:t>
      </w:r>
    </w:p>
    <w:p>
      <w:r>
        <w:rPr>
          <w:color w:val="5A7D3A"/>
          <w:sz w:val="18"/>
        </w:rPr>
        <w:t>https://pubmed.ncbi.nlm.nih.gov/42760387/</w:t>
      </w:r>
    </w:p>
    <w:p>
      <w:pPr>
        <w:pStyle w:val="Heading1"/>
      </w:pPr>
      <w:r>
        <w:t>Aufgenommen am 21.09.2026</w:t>
      </w:r>
    </w:p>
    <w:p>
      <w:pPr>
        <w:pStyle w:val="Heading2"/>
      </w:pPr>
      <w:r>
        <w:t>SABR bei oligometastatischem Brustkrebs: Lokale Kontrolle 92,5% in 1 Jahr</w:t>
      </w:r>
    </w:p>
    <w:p>
      <w:r>
        <w:rPr>
          <w:i/>
          <w:color w:val="666666"/>
          <w:sz w:val="18"/>
        </w:rPr>
        <w:t>Viani GA et al.  ·  Radiother Oncol  ·  20.09.2026  ·  PMID 42764105</w:t>
      </w:r>
    </w:p>
    <w:p>
      <w:r>
        <w:t>Metaanalyse von 25 Studien (1.577 Patienten) zu stereotaktischer ablativer Radiotherapie bei oligometastatischem Brustkrebs.</w:t>
      </w:r>
    </w:p>
    <w:p>
      <w:r>
        <w:rPr>
          <w:b/>
        </w:rPr>
        <w:t xml:space="preserve">Ergebnis: </w:t>
      </w:r>
      <w:r>
        <w:t>Lokale Kontrolle nach 1 Jahr: 92,5 % (95% KI 90,4–94,2), nach 2 Jahren 84,6 % (81,1–87,6). De-novo-Oligometastasen zeigten bessere Ergebnisse als Oligoprogression (OS nach 2 Jahren 91,0 vs. 65,8 %; p=0,002). Grad ≥3-Nebenwirkungen in nur 1,5 % der Patienten.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internationale Studien, vergleichbare Versorgungsstandards</w:t>
      </w:r>
    </w:p>
    <w:p>
      <w:r>
        <w:rPr>
          <w:color w:val="5A7D3A"/>
          <w:sz w:val="18"/>
        </w:rPr>
        <w:t>https://pubmed.ncbi.nlm.nih.gov/42764105/</w:t>
      </w:r>
    </w:p>
    <w:p>
      <w:pPr>
        <w:pStyle w:val="Heading2"/>
      </w:pPr>
      <w:r>
        <w:t>Screening für Schmerz und Depression verbessert sich, aber nicht die Symptomlinderung</w:t>
      </w:r>
    </w:p>
    <w:p>
      <w:r>
        <w:rPr>
          <w:i/>
          <w:color w:val="666666"/>
          <w:sz w:val="18"/>
        </w:rPr>
        <w:t>Huang TQ et al.  ·  JCO Oncol Pract  ·  17.09.2026  ·  PMID 42753214</w:t>
      </w:r>
    </w:p>
    <w:p>
      <w:r>
        <w:t>Analyse von Patienten-Erfahrungsdaten aus dem Oncology Care Model (USA) 2017–2022: Trend von praxis-dokumentierten Screening-Raten vs. Patient-reported Outcomes.</w:t>
      </w:r>
    </w:p>
    <w:p>
      <w:r>
        <w:rPr>
          <w:b/>
        </w:rPr>
        <w:t xml:space="preserve">Ergebnis: </w:t>
      </w:r>
      <w:r>
        <w:t>Praxis-berichtete Schmerz-Screening/-Management-Raten stiegen von 76,5 % auf 92,6 % (2017–2022); Depression von 56,6 % auf 81,7 %. Aber patient-berichtete Schmerzen nahmen leicht ab (–0,2 Prozentpunkte/Quartal; p=0,002), Hilfe bei Symptomen stieg nicht (p&gt;0,20).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Qualitätsmessung im Versicherungssystem unterscheidet sich von Deutschland</w:t>
      </w:r>
    </w:p>
    <w:p>
      <w:r>
        <w:rPr>
          <w:color w:val="5A7D3A"/>
          <w:sz w:val="18"/>
        </w:rPr>
        <w:t>https://pubmed.ncbi.nlm.nih.gov/42753214/</w:t>
      </w:r>
    </w:p>
    <w:p>
      <w:pPr>
        <w:pStyle w:val="Heading2"/>
      </w:pPr>
      <w:r>
        <w:t>MET-Biomarker-Schwellenwerte bei Osimertinib-resistentem EGFR-mutiertem Lungenkarzinom</w:t>
      </w:r>
    </w:p>
    <w:p>
      <w:r>
        <w:rPr>
          <w:i/>
          <w:color w:val="666666"/>
          <w:sz w:val="18"/>
        </w:rPr>
        <w:t>Ahn MJ et al.  ·  Clin Cancer Res  ·  17.09.2026  ·  PMID 42752799</w:t>
      </w:r>
    </w:p>
    <w:p>
      <w:r>
        <w:t>Retrospektive Analyse aus Phase-II-SAVANNAH-Studie: Bestimmung optimaler MET-Cutoffs (IHC/FISH) für Savolitinib plus Osimertinib bei vorbehandeltem NSCLC.</w:t>
      </w:r>
    </w:p>
    <w:p>
      <w:r>
        <w:rPr>
          <w:b/>
        </w:rPr>
        <w:t xml:space="preserve">Ergebnis: </w:t>
      </w:r>
      <w:r>
        <w:t>ORR 49 % (MET IHC 3+/≥90 % und/oder FISH 10+) vs. 9 % (MET-negativ); 32 % (MET IHC 3+/≥50 % oder FISH 5+). Prävalenz MET 3+/≥90 % oder FISH 10+ betrug 34 %. Optimale Cutoffs identifiziert für Phase-III-SAFFRON-Studie.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Biomarker-Definition für Zulassungspfade weltweit</w:t>
      </w:r>
    </w:p>
    <w:p>
      <w:r>
        <w:rPr>
          <w:color w:val="5A7D3A"/>
          <w:sz w:val="18"/>
        </w:rPr>
        <w:t>https://pubmed.ncbi.nlm.nih.gov/42752799/</w:t>
      </w:r>
    </w:p>
    <w:p>
      <w:pPr>
        <w:pStyle w:val="Heading2"/>
      </w:pPr>
      <w:r>
        <w:t>Immun-Checkpoint-Inhibitoren bei Kopf-Hals-Tumoren mit niedriger PD-L1: verschlechterte Überlebensergebnisse</w:t>
      </w:r>
    </w:p>
    <w:p>
      <w:r>
        <w:rPr>
          <w:i/>
          <w:color w:val="666666"/>
          <w:sz w:val="18"/>
        </w:rPr>
        <w:t>Jin M et al.  ·  JAMA Oncol  ·  17.09.2026  ·  PMID 42752536</w:t>
      </w:r>
    </w:p>
    <w:p>
      <w:r>
        <w:t>Bayessche Metaanalyse von 7 randomisierten Studien (630 Patienten mit PD-L1 CPS &lt;1) zum Overall Survival unter ICI-Therapie vs. Standard-Chemotherapie bei Kopf-Hals-Karzinomen.</w:t>
      </w:r>
    </w:p>
    <w:p>
      <w:r>
        <w:rPr>
          <w:b/>
        </w:rPr>
        <w:t xml:space="preserve">Ergebnis: </w:t>
      </w:r>
      <w:r>
        <w:t>Posterior-Wahrscheinlichkeit für schlechteres OS unter ICI: 95,6 %. Bayesscher HR 1,42 (95% KI 0,93–2,06); frequentistischer HR 1,46 (95% KI 1,17–1,83; p&lt;0,001). Empfehlung: Vorsicht bei ICI in dieser PD-L1-negativen Subgruppe.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und internationale Studien, Befund ist allgemein anwendbar</w:t>
      </w:r>
    </w:p>
    <w:p>
      <w:r>
        <w:rPr>
          <w:color w:val="5A7D3A"/>
          <w:sz w:val="18"/>
        </w:rPr>
        <w:t>https://pubmed.ncbi.nlm.nih.gov/42752536/</w:t>
      </w:r>
    </w:p>
    <w:p>
      <w:pPr>
        <w:pStyle w:val="Heading2"/>
      </w:pPr>
      <w:r>
        <w:t>Tumorreaktion γδ T-Zell-Rezeptoren aus Myelom: Machine-Learning-Identifikation und universelle Therapie</w:t>
      </w:r>
    </w:p>
    <w:p>
      <w:r>
        <w:rPr>
          <w:i/>
          <w:color w:val="666666"/>
          <w:sz w:val="18"/>
        </w:rPr>
        <w:t>St Paul M et al.  ·  Nature  ·  16.09.2026  ·  PMID 42749802</w:t>
      </w:r>
    </w:p>
    <w:p>
      <w:r>
        <w:t>Grundlagenarbeit: PreGame-Algorithmus zur Identifikation tumorreaktiver γδ TCRs aus Single-Cell-Daten. Validierung in Patienten mit Multiplem Myelom; Expansion tumorreaktiver γδ T-Zellen als früher Biomarker für Therapieansprechen.</w:t>
      </w:r>
    </w:p>
    <w:p>
      <w:r>
        <w:rPr>
          <w:b/>
        </w:rPr>
        <w:t xml:space="preserve">Ergebnis: </w:t>
      </w:r>
      <w:r>
        <w:t>PreGame identifiziert tumorreaktion γδ T-Zellen zuverlässig. Expansion während Belantamab-Mafodotin-Therapie korrelierte mit Ansprechen. γδ TCR-Epitop in HLA-C gefunden; Potenzial für universelle γδ-TCR-Therapeutika.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 und international, Grundlagenergebnis mit Therapie-Translationspfad</w:t>
      </w:r>
    </w:p>
    <w:p>
      <w:r>
        <w:rPr>
          <w:color w:val="5A7D3A"/>
          <w:sz w:val="18"/>
        </w:rPr>
        <w:t>https://pubmed.ncbi.nlm.nih.gov/42749802/</w:t>
      </w:r>
    </w:p>
    <w:p>
      <w:pPr>
        <w:pStyle w:val="Heading2"/>
      </w:pPr>
      <w:r>
        <w:t>Sozioökonomische Disparitäten bei Sarkomdiagnose und Zentrumsanbindung</w:t>
      </w:r>
    </w:p>
    <w:p>
      <w:r>
        <w:rPr>
          <w:i/>
          <w:color w:val="666666"/>
          <w:sz w:val="18"/>
        </w:rPr>
        <w:t>Mascaró-Baselga P et al.  ·  Oncologist  ·  09.09.2026  ·  PMID 42704687</w:t>
      </w:r>
    </w:p>
    <w:p>
      <w:r>
        <w:t>Querschnittsstudie an 415 Sarkom-Patienten (365 Spanien, 50 Portugal) zu Einflussfaktoren auf Diagnostik, Überweisung und Patientengruppen-Awareness.</w:t>
      </w:r>
    </w:p>
    <w:p>
      <w:r>
        <w:rPr>
          <w:b/>
        </w:rPr>
        <w:t xml:space="preserve">Ergebnis: </w:t>
      </w:r>
      <w:r>
        <w:t>Niedrigeres Einkommen (OR 2,38) war mit längeren Diagnostik-Verzögerungen assoziiert; ländliches Wohnen (OR 3,48) mit weniger Überweisungen zu Spezialistzentren. Sarkoma-Spezifische Advocacy-Group-Awareness lag bei 20 % und war höher mit Universitätsabschluss (OR 4,27). Auch in universellen Gesundheitssystemen bestehen Ungleichheiten beim Zugang.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 und Portugal, europäische Versicherungssysteme, universale Gesundheitsversorgung</w:t>
      </w:r>
    </w:p>
    <w:p>
      <w:r>
        <w:rPr>
          <w:color w:val="5A7D3A"/>
          <w:sz w:val="18"/>
        </w:rPr>
        <w:t>https://pubmed.ncbi.nlm.nih.gov/42704687/</w:t>
      </w:r>
    </w:p>
    <w:p>
      <w:pPr>
        <w:pStyle w:val="Heading1"/>
      </w:pPr>
      <w:r>
        <w:t>Aufgenommen am 20.09.2026</w:t>
      </w:r>
    </w:p>
    <w:p>
      <w:pPr>
        <w:pStyle w:val="Heading2"/>
      </w:pPr>
      <w:r>
        <w:t>Omit-CTV in begrenzt-stadialem Kleinzellkarzinom: Gleiche Wirkung, weniger Toxizität</w:t>
      </w:r>
    </w:p>
    <w:p>
      <w:r>
        <w:rPr>
          <w:i/>
          <w:color w:val="666666"/>
          <w:sz w:val="18"/>
        </w:rPr>
        <w:t>Wang X et al.  ·  Radiother Oncol  ·  19.09.2026  ·  PMID 42763051</w:t>
      </w:r>
    </w:p>
    <w:p>
      <w:r>
        <w:t>Retrospektive Real-World-Studie an 946 Patienten mit begrenzt-stadialem Kleinzellkarzinom der Lunge zum Vergleich von Bestrahlungstechnik mit und ohne klinisches Zielvolumen.</w:t>
      </w:r>
    </w:p>
    <w:p>
      <w:r>
        <w:rPr>
          <w:b/>
        </w:rPr>
        <w:t xml:space="preserve">Ergebnis: </w:t>
      </w:r>
      <w:r>
        <w:t>Mediales PFS 11,8 vs. 11,6 Monate (HR 0,93; p=0,500), mediales OS 35,8 vs. 30,7 Monate (HR 0,85; p=0,220). Omit-CTV zeigte niedrigere Pneumonitis-Raten (Grad ≥3: 3,4 % vs. 8,3 %) und Ösophagitis (Grad ≥3: 5,7 % vs. 9,1 %). Bei Immuntherapie-Patienten: nicht erreichte PFS vs. 15,2 Monate (HR 0,48; p=0,033), nicht erreichte OS vs. 26,9 Monate (HR 0,31; p=0,018).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nationale Klinikdaten; technische Replizierbarkeit international, aber Validierung erforderlich</w:t>
      </w:r>
    </w:p>
    <w:p>
      <w:r>
        <w:rPr>
          <w:color w:val="5A7D3A"/>
          <w:sz w:val="18"/>
        </w:rPr>
        <w:t>https://pubmed.ncbi.nlm.nih.gov/42763051/</w:t>
      </w:r>
    </w:p>
    <w:p>
      <w:pPr>
        <w:pStyle w:val="Heading2"/>
      </w:pPr>
      <w:r>
        <w:t>Dosisunterversorgung bei Protonentherapie: Kein Einfluss auf Ansprechen bei Ösophaguskarzinom</w:t>
      </w:r>
    </w:p>
    <w:p>
      <w:r>
        <w:rPr>
          <w:i/>
          <w:color w:val="666666"/>
          <w:sz w:val="18"/>
        </w:rPr>
        <w:t>van Keeken K et al.  ·  Radiother Oncol  ·  19.09.2026  ·  PMID 42763050</w:t>
      </w:r>
    </w:p>
    <w:p>
      <w:r>
        <w:t>Retrospektive niederländische Analyse von 135 Patienten mit distalem Ösophaguskarzinom unter neoadjuvanter Chemoradiotherapie und intensitätsmodulierter Protonentherapie zur Beziehung zwischen akkumulierter Targetdosis und Tumor-Response.</w:t>
      </w:r>
    </w:p>
    <w:p>
      <w:r>
        <w:rPr>
          <w:b/>
        </w:rPr>
        <w:t xml:space="preserve">Ergebnis: </w:t>
      </w:r>
      <w:r>
        <w:t>Dosisunterversorgung des Internal-Target-Volume (ITV D98 % &lt;94 %) trat bei 21 % auf, Gross-Tumor-Volume-Unterversorgung in 0 %. Persistierende klinische komplette Remission/pathologische komplette Remission: 30 % mit vs. 28 % ohne ITV-Unterversorgung (p=0,90). 2-Jahres-OS identisch (64 %). Zwerchfellbewegung &gt;2 cm war nicht mit Unterversorgung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Klinik, vergleichbares Versicherungssystem; Technische Parameter übertragbar</w:t>
      </w:r>
    </w:p>
    <w:p>
      <w:r>
        <w:rPr>
          <w:color w:val="5A7D3A"/>
          <w:sz w:val="18"/>
        </w:rPr>
        <w:t>https://pubmed.ncbi.nlm.nih.gov/42763050/</w:t>
      </w:r>
    </w:p>
    <w:p>
      <w:pPr>
        <w:pStyle w:val="Heading2"/>
      </w:pPr>
      <w:r>
        <w:t>MammaPrint im MINDACT: 70-Gen-Signatur bestätigt Prognosekraft bei hochrisiko-Brustkrebspatientinnen</w:t>
      </w:r>
    </w:p>
    <w:p>
      <w:r>
        <w:rPr>
          <w:i/>
          <w:color w:val="666666"/>
          <w:sz w:val="18"/>
        </w:rPr>
        <w:t>Gielen RCAM et al.  ·  Eur J Cancer  ·  11.09.2026  ·  PMID 42762561</w:t>
      </w:r>
    </w:p>
    <w:p>
      <w:r>
        <w:t>Exploratorische Subgruppen-Analyse des MINDACT-Trials zu prognostischer Performance des 70-Gen-Signatures in Patientinnen über 50 Jahren mit HR+/HER2- Brustkrebs und klinisch hohem, genomisch niedrigem Risiko, die auf Chemotherapie verzichteten.</w:t>
      </w:r>
    </w:p>
    <w:p>
      <w:r>
        <w:rPr>
          <w:b/>
        </w:rPr>
        <w:t xml:space="preserve">Ergebnis: </w:t>
      </w:r>
      <w:r>
        <w:t>Bei 490 Patientinnen mit Tumoren &gt;2 cm: 8-Jahres-DMFS 87,9 % ohne Chemotherapie (95%-KI 82,9–91,6 %), absoluter Benefit durch Chemotherapie 1,2 %. Bei Grad-3-Tumoren (n=232): DMFS 91,3 % ohne Chemotherapie, Benefit -2,2 %. Bei Lymphknoten-Befall (n=406): DMFS 89,6 %, Benefit 0,7 %. Der Signatur behält prognostische Validität in diesen Hochrisiko-Subgruppen.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Multizenterstudie (EORTC); GnP-Assessment, Leitlinien-relevant</w:t>
      </w:r>
    </w:p>
    <w:p>
      <w:r>
        <w:rPr>
          <w:color w:val="5A7D3A"/>
          <w:sz w:val="18"/>
        </w:rPr>
        <w:t>https://pubmed.ncbi.nlm.nih.gov/42762561/</w:t>
      </w:r>
    </w:p>
    <w:p>
      <w:pPr>
        <w:pStyle w:val="Heading2"/>
      </w:pPr>
      <w:r>
        <w:t>Zugang zu Phase-I-Studien: Barrieren und Chancen bei 26.000 Patienten</w:t>
      </w:r>
    </w:p>
    <w:p>
      <w:r>
        <w:rPr>
          <w:i/>
          <w:color w:val="666666"/>
          <w:sz w:val="18"/>
        </w:rPr>
        <w:t>Roulleaux Dugage M et al.  ·  Eur J Cancer  ·  17.09.2026  ·  PMID 42762559</w:t>
      </w:r>
    </w:p>
    <w:p>
      <w:r>
        <w:t>Französisches Einzelzentrum-Register (Gustave Roussy 2007–2023) zur Untersuchung von Überweisungs- und Einschluss-Mustern in Early-Phase-Trials sowie Dauer bis Therapie-Beginn und Behandlungs-Dauer.</w:t>
      </w:r>
    </w:p>
    <w:p>
      <w:r>
        <w:rPr>
          <w:b/>
        </w:rPr>
        <w:t xml:space="preserve">Ergebnis: </w:t>
      </w:r>
      <w:r>
        <w:t>Von 26.394 überweisenen Patienten wurden 13.713 (52 %) evaluiert, 5.847 (22 %) gaben Einwilligung ab, 4.769 (18 %) erhielten mindestens eine Dosis. Mediane Zeit von Uberweisung zu Trial-Inkl: variabel nach Tumortyp. Zugangsdisparitäten: Nicht-kleinzelliges Lungenkarzinom war häufigste Überweisung (n=5.025, 19 %), aber Brust-, Kolorektal- und Pankreaskarzinom hatten niedrige Behandlungsquoten trotz hoher Überweisungen. Therapeutische Landschaft: Anstieg von Antikörper-Wirkstoff-Konjugaten und T-Zell-Engagern, Rückgang konventioneller monoklonaler Antikörper.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spezialisiertes Zentrum; begrenzte Übertragbarkeit auf Flächenversorgung, methodisch hochwertig</w:t>
      </w:r>
    </w:p>
    <w:p>
      <w:r>
        <w:rPr>
          <w:color w:val="5A7D3A"/>
          <w:sz w:val="18"/>
        </w:rPr>
        <w:t>https://pubmed.ncbi.nlm.nih.gov/42762559/</w:t>
      </w:r>
    </w:p>
    <w:p>
      <w:pPr>
        <w:pStyle w:val="Heading2"/>
      </w:pPr>
      <w:r>
        <w:t>Europäisches Netzwerk für Krebsversorgung bei Jugendlichen und jungen Erwachsenen</w:t>
      </w:r>
    </w:p>
    <w:p>
      <w:r>
        <w:rPr>
          <w:i/>
          <w:color w:val="666666"/>
          <w:sz w:val="18"/>
        </w:rPr>
        <w:t>Ferrari A et al.  ·  ESMO Open  ·  18.09.2026  ·  PMID 42759381</w:t>
      </w:r>
    </w:p>
    <w:p>
      <w:r>
        <w:t>Policy-Paper eines europäischen Expertise-Netzwerks zu Versorgung von Adoleszenten und jungen Erwachsenen (Alter 15–39 Jahre) mit Krebserkrankungen mit Fokus auf nationale Kooperation und strukturelle Maßnahmen.</w:t>
      </w:r>
    </w:p>
    <w:p>
      <w:r>
        <w:rPr>
          <w:b/>
        </w:rPr>
        <w:t xml:space="preserve">Ergebnis: </w:t>
      </w:r>
      <w:r>
        <w:t>Netzwerk empfiehlt: (1) Etablierung länderspezifischer AYA-Zentren, (2) Kooperation zwischen pädiatrischen und Erwachsenen-Onkologie-Diensten, (3) strukturierte Psychosozial-Unterstützung, (4) harmonisierte Datenerfassung für vergleichende Analyse. Hauptmerkmale: Unterschiedliche nationale Zugangsbarrieren und Versorgungsstrukturen in Europas Ländern erfordern lokale Anpassung bei gemeinsamen Standards.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Kontext, 14 Länder; Übertragbar auf deutsches System mit entsprechender Anpassung</w:t>
      </w:r>
    </w:p>
    <w:p>
      <w:r>
        <w:rPr>
          <w:color w:val="5A7D3A"/>
          <w:sz w:val="18"/>
        </w:rPr>
        <w:t>https://pubmed.ncbi.nlm.nih.gov/42759381/</w:t>
      </w:r>
    </w:p>
    <w:p>
      <w:pPr>
        <w:pStyle w:val="Heading2"/>
      </w:pPr>
      <w:r>
        <w:t>Internationale Konsens-Kriterien für T-Zell-Großgranulär-Lymphom-Diagnose und Therapie</w:t>
      </w:r>
    </w:p>
    <w:p>
      <w:r>
        <w:rPr>
          <w:i/>
          <w:color w:val="666666"/>
          <w:sz w:val="18"/>
        </w:rPr>
        <w:t>Brammer JE et al.  ·  Blood  ·  21.08.2026  ·  PMID 42640859</w:t>
      </w:r>
    </w:p>
    <w:p>
      <w:r>
        <w:t>Internationale Konsensus-Arbeit (LGLL Consortium) zur Etablierung einheitlicher Diagnose-, Behandlungs- und Response-Kriterien für die seltene T-Zell-Großgranulär-Leukämie zur Standardisierung klinischer und Forschungspraxis.</w:t>
      </w:r>
    </w:p>
    <w:p>
      <w:r>
        <w:rPr>
          <w:b/>
        </w:rPr>
        <w:t xml:space="preserve">Ergebnis: </w:t>
      </w:r>
      <w:r>
        <w:t>Konsens auf folgende Punkte: (1) Harmonisierte diagnostische Laborkriterien (Flow-Cytometrie, TCR-Molekularanalyse), (2) standardisierte Behandlungsinitiat-Indikatoren (Symptomatik, Organfunktion), (3) einheitliche Response-Assessment-Parameter (Hämatologie, funktionelle Marker). Empfehlungen zur Differenzialdiagnose autoimmunärer Phänomene. Kriterien adressieren zentrale Heterogenität bisheriger Studien, um zukünftige Trials und Klinik zu vereinheitlichen.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 mit europäischen Zentren; Standards sind system-unabhängig, direkt übertragbar</w:t>
      </w:r>
    </w:p>
    <w:p>
      <w:r>
        <w:rPr>
          <w:color w:val="5A7D3A"/>
          <w:sz w:val="18"/>
        </w:rPr>
        <w:t>https://pubmed.ncbi.nlm.nih.gov/42640859/</w:t>
      </w:r>
    </w:p>
    <w:p>
      <w:pPr>
        <w:pStyle w:val="Heading1"/>
      </w:pPr>
      <w:r>
        <w:t>Aufgenommen am 19.09.2026</w:t>
      </w:r>
    </w:p>
    <w:p>
      <w:pPr>
        <w:pStyle w:val="Heading2"/>
      </w:pPr>
      <w:r>
        <w:t>Präzisions-Prävention und Früherkennung: Framework für neue Krebskontroll-Pfade</w:t>
      </w:r>
    </w:p>
    <w:p>
      <w:r>
        <w:rPr>
          <w:i/>
          <w:color w:val="666666"/>
          <w:sz w:val="18"/>
        </w:rPr>
        <w:t>Rebbeck TR  ·  Lancet  ·  18.09.2026  ·  PMID 42759527</w:t>
      </w:r>
    </w:p>
    <w:p>
      <w:r>
        <w:t>Editoriales Essay zu Precision Prevention and Early Detection (PPED) – ein Rahmenwerk, das fragt: Wer hat erhöhtes Krebsrisiko, welche Intervention wann, wie de-eskalieren in Niedrig-Risiko-Gruppen?</w:t>
      </w:r>
    </w:p>
    <w:p>
      <w:r>
        <w:rPr>
          <w:b/>
        </w:rPr>
        <w:t xml:space="preserve">Ergebnis: </w:t>
      </w:r>
      <w:r>
        <w:t>Nur 13% der Krebsfälle werden durch Screening entdeckt; 20–50% präsentieren sich notfallmäßig. PPED-Logik funktioniert bei erblichen Syndromen mit ausreichend angereichertem Risiko. Schlüssel: Gesundheitssystem-Infrastruktur und Arbeitskräfte für longitudinales Präventions-Planning; de-Eskalation in Niedrig-Risiko-Personen genauso wichtig wie Intensivierung in Hoch-Risiko. Größte Herausforderung der nächsten Dekade.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Weltweit anwendbare Prinzipien; deutsche Früherkennung und Zentrenstruktur ermöglichen Umsetzung.</w:t>
      </w:r>
    </w:p>
    <w:p>
      <w:r>
        <w:rPr>
          <w:color w:val="5A7D3A"/>
          <w:sz w:val="18"/>
        </w:rPr>
        <w:t>https://pubmed.ncbi.nlm.nih.gov/42759527/</w:t>
      </w:r>
    </w:p>
    <w:p>
      <w:pPr>
        <w:pStyle w:val="Heading2"/>
      </w:pPr>
      <w:r>
        <w:t>Symptom-Belastung in Krebspatienten korreliert mit geringerer Therapie- und höherer Supportiv-Kostennutzung</w:t>
      </w:r>
    </w:p>
    <w:p>
      <w:r>
        <w:rPr>
          <w:i/>
          <w:color w:val="666666"/>
          <w:sz w:val="18"/>
        </w:rPr>
        <w:t>Hirpara DH et al.  ·  J Clin Oncol  ·  18.09.2026  ·  PMID 42758960</w:t>
      </w:r>
    </w:p>
    <w:p>
      <w:r>
        <w:t>Populationsbasierte Kohortenstudie aus Ontario, Kanada: 285.924 Krebspatienten mit 1.728.025 ESAS-Assessments (Edmonton Symptom Assessment) zur Assoziation zwischen Patient-Reported Outcomes und Gesundheitskosten.</w:t>
      </w:r>
    </w:p>
    <w:p>
      <w:r>
        <w:rPr>
          <w:b/>
        </w:rPr>
        <w:t xml:space="preserve">Ergebnis: </w:t>
      </w:r>
      <w:r>
        <w:t>Höchste Symptom-Belastung (Müdigkeit, Depression, Wohlbefinden) bei Atem-, HNO-Tumoren. Jede 10-Punkte-Zunahme ESAS-Score: 9,4% weniger Krebs-Therapiekosten (sinkende Therapie-Nutzung), aber 18% mehr Supportiv-Care-Kosten (mehr ED-Besuche, Hauscare). GI/Mamma/ZNS teuerste Entitäten (85–78k CAD/30 Tage). Aktives Symptom-Management könnte Krebs-Therapien fördern und unnötige Supportiv-Kosten senken.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ähnliches Versicherungssystem wie Deutschland; Symptom-Management-Evidenz direkt relevant.</w:t>
      </w:r>
    </w:p>
    <w:p>
      <w:r>
        <w:rPr>
          <w:color w:val="5A7D3A"/>
          <w:sz w:val="18"/>
        </w:rPr>
        <w:t>https://pubmed.ncbi.nlm.nih.gov/42758960/</w:t>
      </w:r>
    </w:p>
    <w:p>
      <w:pPr>
        <w:pStyle w:val="Heading2"/>
      </w:pPr>
      <w:r>
        <w:t>Tyrosinkinasehemmer verbessert Gesamtüberleben bei BCR::ABL1+ AML deutlich</w:t>
      </w:r>
    </w:p>
    <w:p>
      <w:r>
        <w:rPr>
          <w:i/>
          <w:color w:val="666666"/>
          <w:sz w:val="18"/>
        </w:rPr>
        <w:t>Bertoli S et al.  ·  Blood  ·  18.09.2026  ·  PMID 42758645</w:t>
      </w:r>
    </w:p>
    <w:p>
      <w:r>
        <w:t>Multizentrische europäische Studie: 212 Patienten mit de novo BCR::ABL1+ AML wurden retrospektiv analysiert – intensiveChemotherapie (IC) allein oder kombiniert mit Tyrosinkinasehemmer (TKI).</w:t>
      </w:r>
    </w:p>
    <w:p>
      <w:r>
        <w:rPr>
          <w:b/>
        </w:rPr>
        <w:t xml:space="preserve">Ergebnis: </w:t>
      </w:r>
      <w:r>
        <w:t>Mit IC+TKI erreichten 110/123 Patienten (89%) komplette Remission/CRi vs. 52/77 (68%) mit IC allein (p&lt;0,0001). 5-Jahres-Gesamtüberleben: 62,9% (IC+TKI) vs. 38,5% (IC; p&lt;0,0001). Im multivariaten Modell: Odds Ratio für CR/CRi 4,74 (95%-KI 2,17–10,35), Hazard Ratio für Überleben 0,40 (0,27–0,62; p&lt;0,001). TKI-Zusatz ist unabhängiger prognostischer Faktor.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Französisch-deutsches Konsortium, europäische Versicherungssysteme, direkt übertragbar auf deutsche Kliniken.</w:t>
      </w:r>
    </w:p>
    <w:p>
      <w:r>
        <w:rPr>
          <w:color w:val="5A7D3A"/>
          <w:sz w:val="18"/>
        </w:rPr>
        <w:t>https://pubmed.ncbi.nlm.nih.gov/42758645/</w:t>
      </w:r>
    </w:p>
    <w:p>
      <w:pPr>
        <w:pStyle w:val="Heading2"/>
      </w:pPr>
      <w:r>
        <w:t>Intraoperative Radiotherapie zeigt Lokalrezidiv-Raten vergleichbar mit postoperativen Boost</w:t>
      </w:r>
    </w:p>
    <w:p>
      <w:r>
        <w:rPr>
          <w:i/>
          <w:color w:val="666666"/>
          <w:sz w:val="18"/>
        </w:rPr>
        <w:t>Sarria GR et al.  ·  Strahlenther Onkol  ·  17.09.2026  ·  PMID 42754764</w:t>
      </w:r>
    </w:p>
    <w:p>
      <w:r>
        <w:t>Matched-Pair-Analyse von 400 Brustkrebs-Patientinnen (je 200 mit intraoperativer oder postoperativer EBRT-Boost) mit frühen Hochrisikotumoreneach Brustkrebserhaltender Chirurgie.</w:t>
      </w:r>
    </w:p>
    <w:p>
      <w:r>
        <w:rPr>
          <w:b/>
        </w:rPr>
        <w:t xml:space="preserve">Ergebnis: </w:t>
      </w:r>
      <w:r>
        <w:t>Nach medianer 58-Monate-Nachsorge: Kumulative lokale Rezidiv-Inzidenz 3,5% (IORT) vs. 2,0% (EBRT); HR 1,80 (95%-KI 0,58–5,58; p=0,312, nicht signifikant). Keine Unterschiede bei Lymphknoten-, Fernmetastasen-freiem Überleben oder Gesamtüberleben (alle p&gt;0,6). IORT ist wirksame, gut verträgliche Alternative ohne Kompromisse im Langzeit-Onkologie.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und europäische Zentren, Versicherungssystem unabhängig, direkt übertragbar.</w:t>
      </w:r>
    </w:p>
    <w:p>
      <w:r>
        <w:rPr>
          <w:color w:val="5A7D3A"/>
          <w:sz w:val="18"/>
        </w:rPr>
        <w:t>https://pubmed.ncbi.nlm.nih.gov/42754764/</w:t>
      </w:r>
    </w:p>
    <w:p>
      <w:pPr>
        <w:pStyle w:val="Heading2"/>
      </w:pPr>
      <w:r>
        <w:t>Seltene EGFR-T790M-Keimbahn-Mutation mit Lungenkrebsrisiko in Southern Appalachia identifiziert</w:t>
      </w:r>
    </w:p>
    <w:p>
      <w:r>
        <w:rPr>
          <w:i/>
          <w:color w:val="666666"/>
          <w:sz w:val="18"/>
        </w:rPr>
        <w:t>LoPiccolo J et al.  ·  Science  ·  17.09.2026  ·  PMID 42752144</w:t>
      </w:r>
    </w:p>
    <w:p>
      <w:r>
        <w:t>Große bevölkerungsgenetische Studie (&gt;3,3 Mio. Personen) zur Assoziation der EGFR-T790M-Variante mit Lungenkrebsrisiko.</w:t>
      </w:r>
    </w:p>
    <w:p>
      <w:r>
        <w:rPr>
          <w:b/>
        </w:rPr>
        <w:t xml:space="preserve">Ergebnis: </w:t>
      </w:r>
      <w:r>
        <w:t>EGFR-T790M signifikant mit Lungenkrebsrisiko assoziiert, aber nicht mit 17 anderen Tumoren; Risiko übersteigt Raucher-Risiko, mehrfach höher in Never-Smokern. Geografisch/ancestral: höhere Prävalenz in USA (Southern-Appalachian-Founder-Event 200–225 Jahre ago, Herkunft britisch/irisch). Prävalenz regional deutlich erhöht, betrifft britische, irische und afrikanische Abstammung. Erkannte Hochrisiko-Träger ermöglichen gezielte genetische Tests und Screening-Strategien.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Transatlantische Studie, Angloamerika-Fokus; für Deutschland gering: regionale Appalachian-Founder-Effekt USA-spezifisch.</w:t>
      </w:r>
    </w:p>
    <w:p>
      <w:r>
        <w:rPr>
          <w:color w:val="5A7D3A"/>
          <w:sz w:val="18"/>
        </w:rPr>
        <w:t>https://pubmed.ncbi.nlm.nih.gov/42752144/</w:t>
      </w:r>
    </w:p>
    <w:p>
      <w:pPr>
        <w:pStyle w:val="Heading2"/>
      </w:pPr>
      <w:r>
        <w:t>Elacestrant zeigt anhaltende Vorteile bei ESR1-mutiertem HR+/HER2– mBC</w:t>
      </w:r>
    </w:p>
    <w:p>
      <w:r>
        <w:rPr>
          <w:i/>
          <w:color w:val="666666"/>
          <w:sz w:val="18"/>
        </w:rPr>
        <w:t>Curigliano G et al.  ·  ESMO Open  ·  14.09.2026  ·  PMID 42735454</w:t>
      </w:r>
    </w:p>
    <w:p>
      <w:r>
        <w:t>Real-World-Analyse von 281 Patientinnen mit HR+/HER2-negativ ESR1-mutiertem metastasiertem Brustkrebs nach ≥1 Linie endokriner Therapie plus CDK4/6-Hemmer.</w:t>
      </w:r>
    </w:p>
    <w:p>
      <w:r>
        <w:rPr>
          <w:b/>
        </w:rPr>
        <w:t xml:space="preserve">Ergebnis: </w:t>
      </w:r>
      <w:r>
        <w:t>Medianer Zeitpunkt bis nächste Therapie: 8,2 Monate (95%-KI 6,0–12,2) in Gruppe mit 1–2 Linien ET+CDK4/6i (n=108); 9,0 Monate bei ≥12-monatiger Vortherapie (n=85; 95%-KI 7,7–13,7). Mit nur 1 Vorlinientherapie: 12,2 Monate (95%-KI 9,0-nicht erreicht; n=31). Leber-/Lungenmets: 6,9 Monate; Gehirnmets: 7,4 Monate. Koexistente ESR1+PI3K-Mutation: 6,1 Monate. Durable Vorteile unterstützen Elacestrant als Erst-Option für endokrin-sensitive HR+ ESR1-mutierte Tumoren.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kanadische Zentren, vergleichbares Versicherungssystem, breiter anwendbar.</w:t>
      </w:r>
    </w:p>
    <w:p>
      <w:r>
        <w:rPr>
          <w:color w:val="5A7D3A"/>
          <w:sz w:val="18"/>
        </w:rPr>
        <w:t>https://pubmed.ncbi.nlm.nih.gov/42735454/</w:t>
      </w:r>
    </w:p>
    <w:p>
      <w:pPr>
        <w:pStyle w:val="Heading2"/>
      </w:pPr>
      <w:r>
        <w:t>Thymusbestrahlung bei NSCLC mit höherem Metastasen- und Todesrisiko assoziiert</w:t>
      </w:r>
    </w:p>
    <w:p>
      <w:r>
        <w:rPr>
          <w:i/>
          <w:color w:val="666666"/>
          <w:sz w:val="18"/>
        </w:rPr>
        <w:t>Prudente V et al.  ·  Ann Oncol  ·  25.08.2026  ·  PMID 42641684</w:t>
      </w:r>
    </w:p>
    <w:p>
      <w:r>
        <w:t>Multikohorten-Analyse von 1.107 NSCLC-Patienten (RTOG-0617 und zwei Real-World-Kohorten) zur Auswirkung akzidenteller Thymusbestrahlung auf Outcome.</w:t>
      </w:r>
    </w:p>
    <w:p>
      <w:r>
        <w:rPr>
          <w:b/>
        </w:rPr>
        <w:t xml:space="preserve">Ergebnis: </w:t>
      </w:r>
      <w:r>
        <w:t>Mittlere Thymusdosis (MTD) von 1 Gy assoziiert mit 1,57–4,21% erhöhtem Distanzmetastasen-Risiko (RTOG: aHR 1,29, p=0,0028; Harvard-CRT: aHR 1,33, p=0,011; Harvard-Durva: aHR 1,95, p=0,007). Patienten mit erhaltenem Thymus vorher besonders gefährdet. Nach 1 Jahr: Dosis-abhängiger Thymusfunktions-Verlust und niedrigere Lymphozytenzahlen. Neuplanuung-Machbarkeitsstudie zeigte thymussparing möglich ohne Tumorüberdeckungs-Verlust.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aber biologischer Mechanismus universal; deutsche Zentren können Planung adaptieren.</w:t>
      </w:r>
    </w:p>
    <w:p>
      <w:r>
        <w:rPr>
          <w:color w:val="5A7D3A"/>
          <w:sz w:val="18"/>
        </w:rPr>
        <w:t>https://pubmed.ncbi.nlm.nih.gov/42641684/</w:t>
      </w:r>
    </w:p>
    <w:p>
      <w:pPr>
        <w:pStyle w:val="Heading1"/>
      </w:pPr>
      <w:r>
        <w:t>Aufgenommen am 18.09.2026</w:t>
      </w:r>
    </w:p>
    <w:p>
      <w:pPr>
        <w:pStyle w:val="Heading2"/>
      </w:pPr>
      <w:r>
        <w:t>Perfluorheptansäure (PFHpA) erhöht Leberkrebsrisiko: Fallkontrollstudie</w:t>
      </w:r>
    </w:p>
    <w:p>
      <w:r>
        <w:rPr>
          <w:i/>
          <w:color w:val="666666"/>
          <w:sz w:val="18"/>
        </w:rPr>
        <w:t>Watling CZ et al.  ·  J Natl Cancer Inst  ·  17.09.2026  ·  PMID 42752878</w:t>
      </w:r>
    </w:p>
    <w:p>
      <w:r>
        <w:t>Verschachtelte Fall-Kontroll-Studie in 12 prospektiven US-Kohorten (853 Fälle, 853 Kontrollen) zur Assoziation von Per- und Polyfluoralkylverbindungen (PFAS) ausser PFOS, PFOA, PFHxS mit Leberkrebs (Prävention).</w:t>
      </w:r>
    </w:p>
    <w:p>
      <w:r>
        <w:rPr>
          <w:b/>
        </w:rPr>
        <w:t xml:space="preserve">Ergebnis: </w:t>
      </w:r>
      <w:r>
        <w:t>Perfluorheptansäure (PFHpA) positiv mit Leberkrebsrisiko assoziiert: Odds Ratio 1,78 (95%-KI 1,26-2,52). Stärkere Assoziation bei Männern (OR 3,72), HCC (4,53), ≤10 Jahre nach Blutentnahme (3,17). Andere PFAS ohne Assoziation.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USA-Bevölkerungsdaten; Kurzkettige-PFAS persistieren auch in Europrodukten.</w:t>
      </w:r>
    </w:p>
    <w:p>
      <w:r>
        <w:rPr>
          <w:color w:val="5A7D3A"/>
          <w:sz w:val="18"/>
        </w:rPr>
        <w:t>https://pubmed.ncbi.nlm.nih.gov/42752878/</w:t>
      </w:r>
    </w:p>
    <w:p>
      <w:pPr>
        <w:pStyle w:val="Heading2"/>
      </w:pPr>
      <w:r>
        <w:t>Zolbetuximab versus Immune Checkpoint Inhibitoren bei claudin-18.2-positivem Magenkrebs</w:t>
      </w:r>
    </w:p>
    <w:p>
      <w:r>
        <w:rPr>
          <w:i/>
          <w:color w:val="666666"/>
          <w:sz w:val="18"/>
        </w:rPr>
        <w:t>Shitara K et al.  ·  ESMO Open  ·  16.09.2026  ·  PMID 42748508</w:t>
      </w:r>
    </w:p>
    <w:p>
      <w:r>
        <w:t>Netzwerk-Metaanalyse vergleicht Zolbetuximab plus Chemotherapie mit ICI-basierter Therapie nach PD-L1-CPS-Subgruppen bei fortgeschrittenem Magen-/gastro-ösophagealem Adenokarzinom in ersten Therapielinie.</w:t>
      </w:r>
    </w:p>
    <w:p>
      <w:r>
        <w:rPr>
          <w:b/>
        </w:rPr>
        <w:t xml:space="preserve">Ergebnis: </w:t>
      </w:r>
      <w:r>
        <w:t>Bei PD-L1 CPS ≥1 bis &lt;10 ähnliche oder numerisch günstigere Effekte für Zolbetuximab auf Overall Survival und Progression-Free Survival versus ICIs. Bei CPS ≥10 numerisch vorteilhaft für ICIs, aber mit optimalisierter Zolbetuximab-Exposition vergleichbar.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Indirekte Vergleiche; biomarker-informierter Ansatz unterstützt, Bestätigung durch prospektive Studien erforderlich.</w:t>
      </w:r>
    </w:p>
    <w:p>
      <w:r>
        <w:rPr>
          <w:color w:val="5A7D3A"/>
          <w:sz w:val="18"/>
        </w:rPr>
        <w:t>https://pubmed.ncbi.nlm.nih.gov/42748508/</w:t>
      </w:r>
    </w:p>
    <w:p>
      <w:pPr>
        <w:pStyle w:val="Heading2"/>
      </w:pPr>
      <w:r>
        <w:t>Achtsamkeit und Tai Chi verbessern Schlaf, Fatigue und Schmerz nach Krebsbehandlung</w:t>
      </w:r>
    </w:p>
    <w:p>
      <w:r>
        <w:rPr>
          <w:i/>
          <w:color w:val="666666"/>
          <w:sz w:val="18"/>
        </w:rPr>
        <w:t>Ma Y et al.  ·  J Clin Oncol  ·  16.09.2026  ·  PMID 42748380</w:t>
      </w:r>
    </w:p>
    <w:p>
      <w:r>
        <w:t>Teilweise randomisierte Patient-Choice-Studie (Mindfulness and Tai Chi for Cancer Health, MATCH) mit 587 Krebsüberlebenden (Durchschnittsalter 60,7 Jahre) zur Wirkung von Achtsamkeitsbasierter Krebsgenesungsgruppe (MBCR) oder Tai Chi/Qigong (TCQ) versus Warteliste auf Schlaf, Fatigue und Schmerz.</w:t>
      </w:r>
    </w:p>
    <w:p>
      <w:r>
        <w:rPr>
          <w:b/>
        </w:rPr>
        <w:t xml:space="preserve">Ergebnis: </w:t>
      </w:r>
      <w:r>
        <w:t>TCQ vs Warteliste: Schlafqualität 1,9 Punkte Verbesserung (p=0,004). MBCR und TCQ vs Warteliste: Fatigue jeweils 3,66 und 3,42 Punkte besser (MBCR p=0,036, TCQ p=0,043). Schmerzbeeinträchtigung &gt;1 Punkt Verbesserung (MBCR p=0,029, TCQ p=0,002). MBCR und TCQ unterschieden sich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Kanadisch-amerikanische Studie; psychosoziale Nachsorge übertragbar auf deutsche Zentren.</w:t>
      </w:r>
    </w:p>
    <w:p>
      <w:r>
        <w:rPr>
          <w:color w:val="5A7D3A"/>
          <w:sz w:val="18"/>
        </w:rPr>
        <w:t>https://pubmed.ncbi.nlm.nih.gov/42748380/</w:t>
      </w:r>
    </w:p>
    <w:p>
      <w:pPr>
        <w:pStyle w:val="Heading2"/>
      </w:pPr>
      <w:r>
        <w:t>Wachsendes Krebsaufkommen in Afrika 2023: Kinder, Jugendliche, junge Erwachsene stark betroffen</w:t>
      </w:r>
    </w:p>
    <w:p>
      <w:r>
        <w:rPr>
          <w:i/>
          <w:color w:val="666666"/>
          <w:sz w:val="18"/>
        </w:rPr>
        <w:t>GBD 2023 Africa Cancer Risk Factors Collaborators  ·  Lancet Oncol  ·  15.09.2026  ·  PMID 42743938</w:t>
      </w:r>
    </w:p>
    <w:p>
      <w:r>
        <w:t>Global Burden of Disease Study 2023 zu Krebsinzidenz, -mortalität und Behinderungsbereinigten Lebensjahren (DALYs) in 54 afrikanischen Ländern, 1990-2023; Analyse von 48 Krebsentitäten und 88 Risikofaktoren.</w:t>
      </w:r>
    </w:p>
    <w:p>
      <w:r>
        <w:rPr>
          <w:b/>
        </w:rPr>
        <w:t xml:space="preserve">Ergebnis: </w:t>
      </w:r>
      <w:r>
        <w:t>2023: 1,54 Mio. neue Fälle (95%-UI 1,37-1,75), 923 000 Todesfälle (824 000-1 020 000), 33,9 Mio. DALYs in Afrika. Kinder 0-19 Jahre: 104 000 Fälle (27,7% global), 38,0% globaler Todesfälle. 31,6% DALYs attributiv modifiable Risikofaktoren.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Bevölkerungsdaten aus 54 Ländern, primär für Gesundheitspolitik und Ressourcenplanung in Afrika relevant.</w:t>
      </w:r>
    </w:p>
    <w:p>
      <w:r>
        <w:rPr>
          <w:color w:val="5A7D3A"/>
          <w:sz w:val="18"/>
        </w:rPr>
        <w:t>https://pubmed.ncbi.nlm.nih.gov/42743938/</w:t>
      </w:r>
    </w:p>
    <w:p>
      <w:pPr>
        <w:pStyle w:val="Heading2"/>
      </w:pPr>
      <w:r>
        <w:t>Perioperatives Durvalumab plus FLOT verlängert Gesamtüberleben bei resektablem Magenkrebs</w:t>
      </w:r>
    </w:p>
    <w:p>
      <w:r>
        <w:rPr>
          <w:i/>
          <w:color w:val="666666"/>
          <w:sz w:val="18"/>
        </w:rPr>
        <w:t>Janjigian YY et al.  ·  Lancet  ·  19.09.2026  ·  PMID 42716074</w:t>
      </w:r>
    </w:p>
    <w:p>
      <w:r>
        <w:t>Randomisierte Phase-3-Studie zur Wirkung von Durvalumab (Immune Checkpoint Inhibitor) plus perioperativer Chemotherapie (FLOT) versus Placebo plus FLOT bei 948 Patienten mit resektablem Magenkarzinom (Stadium II-IVa).</w:t>
      </w:r>
    </w:p>
    <w:p>
      <w:r>
        <w:rPr>
          <w:b/>
        </w:rPr>
        <w:t xml:space="preserve">Ergebnis: </w:t>
      </w:r>
      <w:r>
        <w:t>Gesamtüberleben (Overall Survival) signifikant verbessert mit Durvalumab: Hazard Ratio 0,78 (95%-KI 0,63-0,96; p=0,021). Die Therapie ist neue Standardoption für resektables Magen- und gastro-ösophageales Adenokarzinom.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 in 147 Zentren, vergleichbare Studiendesign wie in deutschem System relevant.</w:t>
      </w:r>
    </w:p>
    <w:p>
      <w:r>
        <w:rPr>
          <w:color w:val="5A7D3A"/>
          <w:sz w:val="18"/>
        </w:rPr>
        <w:t>https://pubmed.ncbi.nlm.nih.gov/42716074/</w:t>
      </w:r>
    </w:p>
    <w:p>
      <w:pPr>
        <w:pStyle w:val="Heading2"/>
      </w:pPr>
      <w:r>
        <w:t>Zehnjahresüberleben nach Brustkrebs nach Stadium, molekularem Subtyp und Grad kombiniert</w:t>
      </w:r>
    </w:p>
    <w:p>
      <w:r>
        <w:rPr>
          <w:i/>
          <w:color w:val="666666"/>
          <w:sz w:val="18"/>
        </w:rPr>
        <w:t>Giudici F et al.  ·  Oncologist  ·  09.09.2026  ·  PMID 42640557</w:t>
      </w:r>
    </w:p>
    <w:p>
      <w:r>
        <w:t>Populationsbasierte Kohortenstudie aus der Friuli-Venezia-Giulia-Krebsregisters (Nordostitalien) mit 10 467 Frauen &lt;75 Jahre, diagnostiziert 2004-2014; Verfolgung bis 2023.</w:t>
      </w:r>
    </w:p>
    <w:p>
      <w:r>
        <w:rPr>
          <w:b/>
        </w:rPr>
        <w:t xml:space="preserve">Ergebnis: </w:t>
      </w:r>
      <w:r>
        <w:t>Höchstes Gesamtüberleben (10-Jahres-Nettoüberleben) bei Stadium I HR+/HER2-: 98,8%. Tiefste bei Stadium III Triple-Negativ: 35,1%. Stadium IV Triple-Negativ: 6,7% vs HR-/HER2+: 18,9%. Vergleich 2004-2009 vs 2010-2014: Verbesserung bei Stadium III HR-/HER2+ von 48,6% auf 87,9% (+39 Prozentpunkte), Stadium III Triple-Negativ 28,8% auf 42,3%.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Italienisches (europäisches) Krebsregister, vergleichbar mit deutschem System und Dokumentation.</w:t>
      </w:r>
    </w:p>
    <w:p>
      <w:r>
        <w:rPr>
          <w:color w:val="5A7D3A"/>
          <w:sz w:val="18"/>
        </w:rPr>
        <w:t>https://pubmed.ncbi.nlm.nih.gov/42640557/</w:t>
      </w:r>
    </w:p>
    <w:p>
      <w:pPr>
        <w:pStyle w:val="Heading1"/>
      </w:pPr>
      <w:r>
        <w:t>Aufgenommen am 17.09.2026</w:t>
      </w:r>
    </w:p>
    <w:p>
      <w:pPr>
        <w:pStyle w:val="Heading2"/>
      </w:pPr>
      <w:r>
        <w:t>eHealth-Intervention (CUMACA-M) stabilisiert Lebensqualität von Brustkrebsüberlebenden über 9 Monate</w:t>
      </w:r>
    </w:p>
    <w:p>
      <w:r>
        <w:rPr>
          <w:i/>
          <w:color w:val="666666"/>
          <w:sz w:val="18"/>
        </w:rPr>
        <w:t>J Natl Cancer Inst  ·  2026  ·  PMID djag328</w:t>
      </w:r>
    </w:p>
    <w:p>
      <w:r>
        <w:t>Spanische randomisierte Kontrollstudie mit 201 krankheitsfreien Brustkrebsüberlebenden (≥5 Jahre nach Diagnose), 9-Monate-eHealth-Intervention vs. Standardcare.</w:t>
      </w:r>
    </w:p>
    <w:p>
      <w:r>
        <w:rPr>
          <w:b/>
        </w:rPr>
        <w:t xml:space="preserve">Ergebnis: </w:t>
      </w:r>
      <w:r>
        <w:t>Gesamtlebensqualität stabil in Interventionsgruppe (5,70→5,69), Rückgang in Kontrolle (5,83→5,57, Δ=-0,26), Differenz 0,24 Punkte (95% CI 0,03-0,44), p=0,024. Psychisches Wohlbefinden Cohen d=0,40, physisches d=0,28.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System (Spanien/öffentliche Versicherung), digitale Nachsorgeintervention für Flächeimplementierung geeignet.</w:t>
      </w:r>
    </w:p>
    <w:p>
      <w:r>
        <w:rPr>
          <w:color w:val="5A7D3A"/>
          <w:sz w:val="18"/>
        </w:rPr>
        <w:t>https://pubmed.ncbi.nlm.nih.gov/djag328/</w:t>
      </w:r>
    </w:p>
    <w:p>
      <w:pPr>
        <w:pStyle w:val="Heading2"/>
      </w:pPr>
      <w:r>
        <w:t>HRS-4642+Adebrelimab bei KRAS-G12D-Pankreas-Ca: 43% Ansprechrate ohne Chemotherapie</w:t>
      </w:r>
    </w:p>
    <w:p>
      <w:r>
        <w:rPr>
          <w:i/>
          <w:color w:val="666666"/>
          <w:sz w:val="18"/>
        </w:rPr>
        <w:t>Shi S et al.  ·  Cancer Cell  ·  16.09.2026  ·  PMID 42748921</w:t>
      </w:r>
    </w:p>
    <w:p>
      <w:r>
        <w:t>Phase-1/2-Studie mit 48 Patienten (davon 37 in der RP2D-Kohorte) mit metastasiertem KRAS-G12D-mutiertem Pankreaskarzinom, chemofrei mit KRAS-inhibitor+PD-L1-Blocker behandelt.</w:t>
      </w:r>
    </w:p>
    <w:p>
      <w:r>
        <w:rPr>
          <w:b/>
        </w:rPr>
        <w:t xml:space="preserve">Ergebnis: </w:t>
      </w:r>
      <w:r>
        <w:t>Bestätigte ORR 43,2% (95% CI 27,1-60,5), Krankheitskontrollrate 81,1%, mediane Progressionsfreihheit 5,7 Monate, medianes Gesamtüberleben 11,5 Monate. Häufigste Nebenwirkungen: Hypercholesterinämie und Anämie je 50%.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KRAS-Inhibitor nicht europäisch zugelassen, Sicherheitsdaten übertragbar.</w:t>
      </w:r>
    </w:p>
    <w:p>
      <w:r>
        <w:rPr>
          <w:color w:val="5A7D3A"/>
          <w:sz w:val="18"/>
        </w:rPr>
        <w:t>https://pubmed.ncbi.nlm.nih.gov/42748921/</w:t>
      </w:r>
    </w:p>
    <w:p>
      <w:pPr>
        <w:pStyle w:val="Heading2"/>
      </w:pPr>
      <w:r>
        <w:t>Triplet-Chemotherapie bei fortgeschrittenem Pankreas-Ca: 63% Ansprechrate, 60% Konversion</w:t>
      </w:r>
    </w:p>
    <w:p>
      <w:r>
        <w:rPr>
          <w:i/>
          <w:color w:val="666666"/>
          <w:sz w:val="18"/>
        </w:rPr>
        <w:t>Nagatani Y et al.  ·  Eur J Cancer  ·  10.09.2026  ·  PMID 42748587</w:t>
      </w:r>
    </w:p>
    <w:p>
      <w:r>
        <w:t>Japanische Phase-II-Multicenterstudie mit 30 Patienten, gesamte Chemotherapie (Gemcitabin, nab-Paclitaxel) mit oralem S-1 kombiniert.</w:t>
      </w:r>
    </w:p>
    <w:p>
      <w:r>
        <w:rPr>
          <w:b/>
        </w:rPr>
        <w:t xml:space="preserve">Ergebnis: </w:t>
      </w:r>
      <w:r>
        <w:t>ORR 63,3% (primärer Endpunkt erreicht), Krankheitskontrollrate 86,7%, medianes progressionsfreies Überleben 9,0 Monate, medianes Gesamtüberleben 15,0 Monate. 60% der lokalfortgeschrittenen Patienten zur Resektabilität konvertiert.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 Daten, S-1 in Deutschland verfügbar, Triplet potenziell praxisrelevant.</w:t>
      </w:r>
    </w:p>
    <w:p>
      <w:r>
        <w:rPr>
          <w:color w:val="5A7D3A"/>
          <w:sz w:val="18"/>
        </w:rPr>
        <w:t>https://pubmed.ncbi.nlm.nih.gov/42748587/</w:t>
      </w:r>
    </w:p>
    <w:p>
      <w:pPr>
        <w:pStyle w:val="Heading2"/>
      </w:pPr>
      <w:r>
        <w:t>Pembrolizumab bei Magenkarzinom: Überlebensvorteil 12,9 vs. 11,5 Monate bestätigt</w:t>
      </w:r>
    </w:p>
    <w:p>
      <w:r>
        <w:rPr>
          <w:i/>
          <w:color w:val="666666"/>
          <w:sz w:val="18"/>
        </w:rPr>
        <w:t>Rha SY et al.  ·  ESMO Open  ·  16.09.2026  ·  PMID 42748509</w:t>
      </w:r>
    </w:p>
    <w:p>
      <w:r>
        <w:t>Randomisierte Phase-III-Studie (KEYNOTE-859) mit 1.579 Patienten mit HER2-negativem lokal fortgeschrittenem/metastasiertem Magen-GÖJ-Adenokarzinom; 4,5-Jahre-Follow-up.</w:t>
      </w:r>
    </w:p>
    <w:p>
      <w:r>
        <w:rPr>
          <w:b/>
        </w:rPr>
        <w:t xml:space="preserve">Ergebnis: </w:t>
      </w:r>
      <w:r>
        <w:t>Median Overall Survival 12,9 Monate (Pembrolizumab+Chemotherapie) vs. 11,5 Monate (Placebo+Chemotherapie), Hazard Ratio 0,78 (95% CI 0,70-0,86). Grade-3/4-Nebenwirkungen 58,3% vs. 49,3%.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Studie, europäische und asiatische Zentren, vergleichbare Versorgung.</w:t>
      </w:r>
    </w:p>
    <w:p>
      <w:r>
        <w:rPr>
          <w:color w:val="5A7D3A"/>
          <w:sz w:val="18"/>
        </w:rPr>
        <w:t>https://pubmed.ncbi.nlm.nih.gov/42748509/</w:t>
      </w:r>
    </w:p>
    <w:p>
      <w:pPr>
        <w:pStyle w:val="Heading2"/>
      </w:pPr>
      <w:r>
        <w:t>Blinatumomab ersetzt Chemotherapie in hochrisiko-ALL: 83% ereignisfreies Überleben</w:t>
      </w:r>
    </w:p>
    <w:p>
      <w:r>
        <w:rPr>
          <w:i/>
          <w:color w:val="666666"/>
          <w:sz w:val="18"/>
        </w:rPr>
        <w:t>Schrappe M et al.  ·  N Engl J Med  ·  17.09.2026  ·  PMID 42748428</w:t>
      </w:r>
    </w:p>
    <w:p>
      <w:r>
        <w:t>Randomisierte europäisch-internationale Studie bei 358 Kindern mit neu diagnostizierter B-ALL, die statt zwei Chemotherapie-Zyklen zwei Blinatumomab-Zyklen erhielten.</w:t>
      </w:r>
    </w:p>
    <w:p>
      <w:r>
        <w:rPr>
          <w:b/>
        </w:rPr>
        <w:t xml:space="preserve">Ergebnis: </w:t>
      </w:r>
      <w:r>
        <w:t>4-Jahres-Ereignisfreiheit 83,0% (Blinatumomab) vs. 70,3% (Kontrolle), Hazard Ratio 0,51, p=0,0002. Behandlungsbedingte Infektionen: 23,9% vs. 69,4%, lebensbedrohliche Ereignisse 0,5% vs. 4,7%.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Deutsches/österreichisches Zentrumsprotokoll (BFM-ALL 2017), direkte Übertragung möglich.</w:t>
      </w:r>
    </w:p>
    <w:p>
      <w:r>
        <w:rPr>
          <w:color w:val="5A7D3A"/>
          <w:sz w:val="18"/>
        </w:rPr>
        <w:t>https://pubmed.ncbi.nlm.nih.gov/42748428/</w:t>
      </w:r>
    </w:p>
    <w:p>
      <w:pPr>
        <w:pStyle w:val="Heading2"/>
      </w:pPr>
      <w:r>
        <w:t>Fünfjährliche statt dreijährliche Koloskopie nach Adenomektomie: Nichtunterlegenheit bestätigt</w:t>
      </w:r>
    </w:p>
    <w:p>
      <w:r>
        <w:rPr>
          <w:i/>
          <w:color w:val="666666"/>
          <w:sz w:val="18"/>
        </w:rPr>
        <w:t>Jover R et al.  ·  N Engl J Med  ·  17.09.2026  ·  PMID 42748427</w:t>
      </w:r>
    </w:p>
    <w:p>
      <w:r>
        <w:t>Europäische Nichtunterlegenheitsstudie mit 10.799 Patienten nach Hochrisiko-Adenomektomie, randomisiert zu erste Surveillance nach 5 vs. 3 Jahren.</w:t>
      </w:r>
    </w:p>
    <w:p>
      <w:r>
        <w:rPr>
          <w:b/>
        </w:rPr>
        <w:t xml:space="preserve">Ergebnis: </w:t>
      </w:r>
      <w:r>
        <w:t>5-Jahres-Darmkrebsinzidenz 0,77% (5-jährig) vs. 0,82% (3-jährig), Nichtunterlegenheitsgrenze erreicht. Krebstodesfälle: 0,06% vs. 0,04%.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Studiendesign (Spanien, Norwegen, Polen, Dänemark), Nachsorgeleitlinien unmittelbar anwendbar.</w:t>
      </w:r>
    </w:p>
    <w:p>
      <w:r>
        <w:rPr>
          <w:color w:val="5A7D3A"/>
          <w:sz w:val="18"/>
        </w:rPr>
        <w:t>https://pubmed.ncbi.nlm.nih.gov/42748427/</w:t>
      </w:r>
    </w:p>
    <w:p>
      <w:pPr>
        <w:pStyle w:val="Heading1"/>
      </w:pPr>
      <w:r>
        <w:t>Aufgenommen am 16.09.2026</w:t>
      </w:r>
    </w:p>
    <w:p>
      <w:pPr>
        <w:pStyle w:val="Heading2"/>
      </w:pPr>
      <w:r>
        <w:t>Waldbrand-Feinstaub verstärkt Sterblichkeit von Lungenkrebspatienten um 78 % pro μg/m³</w:t>
      </w:r>
    </w:p>
    <w:p>
      <w:r>
        <w:rPr>
          <w:i/>
          <w:color w:val="666666"/>
          <w:sz w:val="18"/>
        </w:rPr>
        <w:t>Zhang M et al.  ·  Lancet Oncol  ·  15.09.2026  ·  PMID 42743939</w:t>
      </w:r>
    </w:p>
    <w:p>
      <w:r>
        <w:t>Retrospektive Kohortenstudie mit 414.016 älteren Lungenkrebspatienten aus SEER-Medicare (2006–2019) untersuchte die Auswirkung langfristiger Exposition gegenüber Waldbrand-assoziiertem PM2,5 vs. Nicht-Waldbrand-PM2,5 auf Overall Survival.</w:t>
      </w:r>
    </w:p>
    <w:p>
      <w:r>
        <w:rPr>
          <w:b/>
        </w:rPr>
        <w:t xml:space="preserve">Ergebnis: </w:t>
      </w:r>
      <w:r>
        <w:t>Jeder 1-μg/m³-Anstieg Waldbrand-PM2,5 war mit HR 1,0782 (95%-KI 1,0641–1,0924; p&lt;0,0001) für erhöhte Mortalität assoziiert, nicht-Waldbrand-PM2,5 mit HR 1,0171. Insgesamt 696 (95%-KI 576–814) durchschnittliche jährliche überschüssige Todesfälle waren der Waldbrand-Exposition zuzuordnen – pro Einheit toxischer als reguläre Luftverschmutzung.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USA/SEER-Daten: Nur Sicherheitsbefund übertragbar, Feinstaub-Exposition in Deutschland gering</w:t>
      </w:r>
    </w:p>
    <w:p>
      <w:r>
        <w:rPr>
          <w:color w:val="5A7D3A"/>
          <w:sz w:val="18"/>
        </w:rPr>
        <w:t>https://pubmed.ncbi.nlm.nih.gov/42743939/</w:t>
      </w:r>
    </w:p>
    <w:p>
      <w:pPr>
        <w:pStyle w:val="Heading2"/>
      </w:pPr>
      <w:r>
        <w:t>Nach Neoadjuvant-Therapie mit Triplet: Adjuvante Chemotherapie hilft nur bei ypN+/CRT, nicht bei TNT</w:t>
      </w:r>
    </w:p>
    <w:p>
      <w:r>
        <w:rPr>
          <w:i/>
          <w:color w:val="666666"/>
          <w:sz w:val="18"/>
        </w:rPr>
        <w:t>Denost Q et al.  ·  Eur J Cancer  ·  11.09.2026  ·  PMID 42743888</w:t>
      </w:r>
    </w:p>
    <w:p>
      <w:r>
        <w:t>Post-hoc-Analyse von zwei französischen randomisierten Multizenterstudie (GRECCAR4, PRODIGE23) mit 489 Patienten mit lokal fortgeschrittenem Rektumkarzinom, die den Nutzen adjuvanter Chemotherapie (AC) nach TNT mit FOLFIRINOX vs. CRT bewertete.</w:t>
      </w:r>
    </w:p>
    <w:p>
      <w:r>
        <w:rPr>
          <w:b/>
        </w:rPr>
        <w:t xml:space="preserve">Ergebnis: </w:t>
      </w:r>
      <w:r>
        <w:t>Nach Neoadjuvant-TNT zeigte AC keinen Vorteil in 3-Jahre-DFS für ypN+ (TNT-Arm; p=0,33) oder ypN0/cN+ (p=0,45). Nach CRT profitierten nur ypN+-Patienten: 3-Jahre-DFS verbessert nach AC (TNT: keine; CRT: signifikant; p&lt;0,001), 3-Jahre-OS und -DMFS ebenfalls nur nach CRT signifikant. Diese Daten unterstützen Therapie-Deeskalation in der TNT-Ära.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Deutschland/Frankreich: Europäische High-Volume-Zentren, deutsches Versicherungssystem vergleichbar</w:t>
      </w:r>
    </w:p>
    <w:p>
      <w:r>
        <w:rPr>
          <w:color w:val="5A7D3A"/>
          <w:sz w:val="18"/>
        </w:rPr>
        <w:t>https://pubmed.ncbi.nlm.nih.gov/42743888/</w:t>
      </w:r>
    </w:p>
    <w:p>
      <w:pPr>
        <w:pStyle w:val="Heading2"/>
      </w:pPr>
      <w:r>
        <w:t>Zirkufierende bakterielle DNA prognostiziert Therapieerfolg bei fortgeschrittenem Bauchspeicheldrüsenkrebs</w:t>
      </w:r>
    </w:p>
    <w:p>
      <w:r>
        <w:rPr>
          <w:i/>
          <w:color w:val="666666"/>
          <w:sz w:val="18"/>
        </w:rPr>
        <w:t>Surendran SA et al.  ·  Eur J Cancer  ·  10.09.2026  ·  PMID 42743886</w:t>
      </w:r>
    </w:p>
    <w:p>
      <w:r>
        <w:t>Studie von 13 + 47 Patienten mit fortgeschrittenem Pankreaskarzinom untersuchte, ob Veränderungen der zirkulierenden freien bakteriellen DNA (cfbDNA) im Serum unter Chemotherapie (FFX oder GnP) den Behandlungserfolg vorhersagen.</w:t>
      </w:r>
    </w:p>
    <w:p>
      <w:r>
        <w:rPr>
          <w:b/>
        </w:rPr>
        <w:t xml:space="preserve">Ergebnis: </w:t>
      </w:r>
      <w:r>
        <w:t>Patienten mit Abfall der cfbDNA unter FFX erreichten 14,3 vs. 2,9 Monate PFS (p&lt;0,001) und 23,2 vs. 8,4 Monate OS (p=0,006). Ein konstanter oder erhöhter cfbDNA-Wert war mit schlechterem OS assoziiert (HR 11,75; 95%-KI 1,87–73,85; p=0,009). Diese Marker-dynamik war aber regimen-abhängig: Bei GnP zeigte der cfbDNA-Rückgang gegenteilige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Deutschland/Österreich: Europäische Krankenhauskohorten mit vergleichbarer Dokumentation</w:t>
      </w:r>
    </w:p>
    <w:p>
      <w:r>
        <w:rPr>
          <w:color w:val="5A7D3A"/>
          <w:sz w:val="18"/>
        </w:rPr>
        <w:t>https://pubmed.ncbi.nlm.nih.gov/42743886/</w:t>
      </w:r>
    </w:p>
    <w:p>
      <w:pPr>
        <w:pStyle w:val="Heading2"/>
      </w:pPr>
      <w:r>
        <w:t>Triplet-Chemotherapie plus Panitumumab in RAS wild-typ mKRK erhält Lebensqualität</w:t>
      </w:r>
    </w:p>
    <w:p>
      <w:r>
        <w:rPr>
          <w:i/>
          <w:color w:val="666666"/>
          <w:sz w:val="18"/>
        </w:rPr>
        <w:t>Klingler TM et al.  ·  Eur J Cancer  ·  11.09.2026  ·  PMID 42743885</w:t>
      </w:r>
    </w:p>
    <w:p>
      <w:r>
        <w:t>Sekundäranalyse der deutschen Phase-II-Studie VOLFI (AIO-KRK 0109) mit 105 randomisierten Patienten, die den Effekt von mFOLFOXIRI + Panitumumab vs. FOLFOXIRI auf Lebensqualität (EORTC QLQ-C30) untersuchte.</w:t>
      </w:r>
    </w:p>
    <w:p>
      <w:r>
        <w:rPr>
          <w:b/>
        </w:rPr>
        <w:t xml:space="preserve">Ergebnis: </w:t>
      </w:r>
      <w:r>
        <w:t>77 Patienten (51 vs. 26) führten ≥1 Lebensqualitäts-Fragebogen aus. Nach 12 Wochen keine statistisch signifikanten Unterschiede in Gesamt-HRQoL oder spezifischen Dimensionen. Patienten mit mFOLFOXIRI + Panitumumab mit Hautotoxizität zeigten trotz Toxizität keine assoziierte Lebensqualitätsverschlechterung. mFOLFOXIRI + Panitumumab war nicht mit schlechterer HRQoL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Alle Zentren Charité und LMU München – direkt übertragbar</w:t>
      </w:r>
    </w:p>
    <w:p>
      <w:r>
        <w:rPr>
          <w:color w:val="5A7D3A"/>
          <w:sz w:val="18"/>
        </w:rPr>
        <w:t>https://pubmed.ncbi.nlm.nih.gov/42743885/</w:t>
      </w:r>
    </w:p>
    <w:p>
      <w:pPr>
        <w:pStyle w:val="Heading2"/>
      </w:pPr>
      <w:r>
        <w:t>Ältere Brustkrebs-Patienten haben häufiger PIK3CA-Mutationen und höhere Tumorlast</w:t>
      </w:r>
    </w:p>
    <w:p>
      <w:r>
        <w:rPr>
          <w:i/>
          <w:color w:val="666666"/>
          <w:sz w:val="18"/>
        </w:rPr>
        <w:t>Gupta H et al.  ·  ESMO Open  ·  14.09.2026  ·  PMID 42735455</w:t>
      </w:r>
    </w:p>
    <w:p>
      <w:r>
        <w:t>Studie von 2.379 Patienten mit metastasiertem Brustkrebs (853 jung, 1.311 mittleres Alter, 215 älter ≥70 Jahre) verglich Tumor-Genomlandschaft mittels Zielsequenzierung (OncoPanel) nach Altersgruppe.</w:t>
      </w:r>
    </w:p>
    <w:p>
      <w:r>
        <w:rPr>
          <w:b/>
        </w:rPr>
        <w:t xml:space="preserve">Ergebnis: </w:t>
      </w:r>
      <w:r>
        <w:t>Ältere Patienten zeigten höhere Häufigkeit von SNVs in PIK3CA (44%), TP53 (33%), CDH1 (22%). Nach Adjustierung war hohes Alter assoziiert mit mehr PIK3CA-SNVs (OR 1,21; 95%-KI 1,11–1,31; q&lt;0,001), CDH1-SNVs (OR 1,43; 95%-KI 1,21–1,68) und 26% mit ≥10 Mutationen/Mb (vs. 17% bei Jüngsten). Diese Unterschiede waren unabhängig von Tumorsubtyp.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USA-Klinik: Vergleichbare Versicherungssysteme bei Umsetzung, genomische Testung in Deutschland ebenfalls Standard</w:t>
      </w:r>
    </w:p>
    <w:p>
      <w:r>
        <w:rPr>
          <w:color w:val="5A7D3A"/>
          <w:sz w:val="18"/>
        </w:rPr>
        <w:t>https://pubmed.ncbi.nlm.nih.gov/42735455/</w:t>
      </w:r>
    </w:p>
    <w:p>
      <w:pPr>
        <w:pStyle w:val="Heading2"/>
      </w:pPr>
      <w:r>
        <w:t>Immuntyp-Transition vorhersagt Checkpoint-Inhibitor-Anspruch besser als Ausgangszustand</w:t>
      </w:r>
    </w:p>
    <w:p>
      <w:r>
        <w:rPr>
          <w:i/>
          <w:color w:val="666666"/>
          <w:sz w:val="18"/>
        </w:rPr>
        <w:t>Lin Z et al.  ·  Cancer Cell  ·  14.09.2026  ·  PMID 42679812</w:t>
      </w:r>
    </w:p>
    <w:p>
      <w:r>
        <w:t>Longitudinale Single-Cell-RNA-Sequenzierung von 441 Proben aus 241 Patienten mit zehn Krebsentitäten untersuchte die Umgestaltung der Tumor-Immunmikroumgebung (TIME) unter Checkpoint-Inhibitor-Therapie und entwickelte eine prädiktive Signatur.</w:t>
      </w:r>
    </w:p>
    <w:p>
      <w:r>
        <w:rPr>
          <w:b/>
        </w:rPr>
        <w:t xml:space="preserve">Ergebnis: </w:t>
      </w:r>
      <w:r>
        <w:t>~40% der Tumore wechselten während Therapie zwischen TIME-Subtypen. Der Übergang (nicht der Ausgangszustand) war prognostischer: Günstige Übergänge zu entzündetem oder B-Zell-angereichertem Subtyp korrelierten mit verbessertem Ansprechen und Überleben. Eine 59-Gen-Signatur sagte Ansprechen und Überleben in 1.383 Baseline-Tumoren über 19 unabhängige Kohorten vorher (HR 2,15; KI-range über Publikationen relevant).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International/Multi-Entity: Prinzipien auf deutsche Zentren mit Liquid Biopsy/Tumorboard anwendbar</w:t>
      </w:r>
    </w:p>
    <w:p>
      <w:r>
        <w:rPr>
          <w:color w:val="5A7D3A"/>
          <w:sz w:val="18"/>
        </w:rPr>
        <w:t>https://pubmed.ncbi.nlm.nih.gov/42679812/</w:t>
      </w:r>
    </w:p>
    <w:p>
      <w:pPr>
        <w:pStyle w:val="Heading1"/>
      </w:pPr>
      <w:r>
        <w:t>Aufgenommen am 15.09.2026</w:t>
      </w:r>
    </w:p>
    <w:p>
      <w:pPr>
        <w:pStyle w:val="Heading2"/>
      </w:pPr>
      <w:r>
        <w:t>HDR-Brachytherapie nach Strahlentherapie bei älteren Rektumkarzinom-Patienten: lokale Kontrolle bei 80 %</w:t>
      </w:r>
    </w:p>
    <w:p>
      <w:r>
        <w:rPr>
          <w:i/>
          <w:color w:val="666666"/>
          <w:sz w:val="18"/>
        </w:rPr>
        <w:t>Kristen A et al.  ·  Strahlenther Onkol  ·  14.09.2026  ·  PMID 42734824</w:t>
      </w:r>
    </w:p>
    <w:p>
      <w:r>
        <w:t>15 ältere/infirme Patienten mit Rektumkarzinom erhielten kombiniert externe Strahlentherapie (30-39 Gy/10-13 Fraktionen) und endorektale Hochdosis-Brachytherapie (12-24 Gy/2-3 Fraktionen); eine organerhaltende Methode für Operationsunfähige.</w:t>
      </w:r>
    </w:p>
    <w:p>
      <w:r>
        <w:rPr>
          <w:b/>
        </w:rPr>
        <w:t xml:space="preserve">Ergebnis: </w:t>
      </w:r>
      <w:r>
        <w:t>Nach 21 Monaten Median-Follow-up erreichten 12 von 15 Patienten (80 %) klinische komplette (n=6) oder nahezu komplette Remission (n=6); 4 Patienten (33 %) entwickelten später lokales Rezidiv, 4 (27 %) Fernmetastasen. Grad-3-Toxizität: 67 % Proktitis, 20 % schwere Rektalblutung (3 Patienten). Sicherheits- und Dosisoptimierungsfragen bleiben, besonders bei Antikoagulation.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einzelzentrisch; Ansatz für zertifizierte Zentren mit Brachytherapie-Expertise geeignet</w:t>
      </w:r>
    </w:p>
    <w:p>
      <w:r>
        <w:rPr>
          <w:color w:val="5A7D3A"/>
          <w:sz w:val="18"/>
        </w:rPr>
        <w:t>https://pubmed.ncbi.nlm.nih.gov/42734824/</w:t>
      </w:r>
    </w:p>
    <w:p>
      <w:pPr>
        <w:pStyle w:val="Heading2"/>
      </w:pPr>
      <w:r>
        <w:t>Tambotatug Pelitecan (B7-H3-ADC) bei kleinzelligem Lungenkarzinom nach Platin: OS-Vorteil gegenüber Topotekan</w:t>
      </w:r>
    </w:p>
    <w:p>
      <w:r>
        <w:rPr>
          <w:i/>
          <w:color w:val="666666"/>
          <w:sz w:val="18"/>
        </w:rPr>
        <w:t>Zhao Y et al.  ·  N Engl J Med  ·  12.09.2026  ·  PMID 42734213</w:t>
      </w:r>
    </w:p>
    <w:p>
      <w:r>
        <w:t>Phase-III-TAISHAN-302, China: 451 Patienten mit rezidivierendem SCLC nach Platin-basierter Erstlinien-Therapie, randomisiert 1:1 zu Tambotatug Pelitecan (neuer B7-H3-zielgerichteter Antikörper-Wirkstoff-Konjugat) versus Topotekan; Interim-Analyse.</w:t>
      </w:r>
    </w:p>
    <w:p>
      <w:r>
        <w:rPr>
          <w:b/>
        </w:rPr>
        <w:t xml:space="preserve">Ergebnis: </w:t>
      </w:r>
      <w:r>
        <w:t>Median-OS: 13,3 Monate (Tam-Peli) vs. 9,4 Monate (Topotekan), HR 0,46 (95% KI 0,35–0,62, p&lt;0,001). Median-PFS: 7,4 vs. 2,8 Monate, HR 0,29 (p&lt;0,001). ORR: 59,1% vs. 9,7% (p&lt;0,001). Grad-≥3-AE: 55,4% vs. 77,9% (Tam-Peli günstiger). Diese Ergebnisse könnten neuen Standard für rezidiviertes SCLC begründen.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globales Design; Zulassungsantrag ausstehend, deutsche Verfügbarkeit unklar – USA nur mit Vorbehalt übertragbar</w:t>
      </w:r>
    </w:p>
    <w:p>
      <w:r>
        <w:rPr>
          <w:color w:val="5A7D3A"/>
          <w:sz w:val="18"/>
        </w:rPr>
        <w:t>https://pubmed.ncbi.nlm.nih.gov/42734213/</w:t>
      </w:r>
    </w:p>
    <w:p>
      <w:pPr>
        <w:pStyle w:val="Heading2"/>
      </w:pPr>
      <w:r>
        <w:t>Tumoren unterdrücken T-Zell-Immunität durch Antioxidanzien – PRDX1 als therapeutisches Target</w:t>
      </w:r>
    </w:p>
    <w:p>
      <w:r>
        <w:rPr>
          <w:i/>
          <w:color w:val="666666"/>
          <w:sz w:val="18"/>
        </w:rPr>
        <w:t>Wesolowski AJ et al.  ·  Science  ·  03.09.2026  ·  PMID 42691162</w:t>
      </w:r>
    </w:p>
    <w:p>
      <w:r>
        <w:t>Grundlagenwerk zur Immunsuppression durch tumorales Peroxiredoxin-1 (PRDX1): Forschung zeigt, dass Tumoren Antioxidanzien in ihre Umgebung freisetzen und T-Zellen damit ihrer reaktiven Sauerstoffspezies berauben, was deren Signalübertragung blockiert.</w:t>
      </w:r>
    </w:p>
    <w:p>
      <w:r>
        <w:rPr>
          <w:b/>
        </w:rPr>
        <w:t xml:space="preserve">Ergebnis: </w:t>
      </w:r>
      <w:r>
        <w:t>PRDX1-Mangel in Tumoren verstärkte Antitumor-Immunität und verbesserte Immuntherapie-Antworten in Mausmodellen; Liquid Biopsy könnte PRDX1-Spiegel messen. Der Befund eröffnet neuen therapeutischen Ansatz: PRDX1-Inhibition könnte Immuntherapie-Resistenz überwinden.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Präklinisch; klinischer Weg unklar, aber identifiziertes Targetprotein (PRDX1) ist actionable für Therapeutika-Entwicklung</w:t>
      </w:r>
    </w:p>
    <w:p>
      <w:r>
        <w:rPr>
          <w:color w:val="5A7D3A"/>
          <w:sz w:val="18"/>
        </w:rPr>
        <w:t>https://pubmed.ncbi.nlm.nih.gov/42691162/</w:t>
      </w:r>
    </w:p>
    <w:p>
      <w:pPr>
        <w:pStyle w:val="Heading2"/>
      </w:pPr>
      <w:r>
        <w:t>Real-World-Evidence zur Zulassung von Krebsmedikamenten: 18 Anträge mit Single-Arm-Trials und RWE, 2022–2025</w:t>
      </w:r>
    </w:p>
    <w:p>
      <w:r>
        <w:rPr>
          <w:i/>
          <w:color w:val="666666"/>
          <w:sz w:val="18"/>
        </w:rPr>
        <w:t>Su L et al.  ·  Oncologist  ·  06.08.2026  ·  PMID 42664160</w:t>
      </w:r>
    </w:p>
    <w:p>
      <w:r>
        <w:t>Analyse von 200 Onkologie-Zulassungen (FDA 134, EMA 66) 2022–2025: 18 Anträge (7 FDA, 11 EMA) kombiniert Single-Arm-Trials mit Real-World-Evidence; meist für Hämatologika (53 %), Hälfte auf elektronischen Krankenhauspflichten basiert.</w:t>
      </w:r>
    </w:p>
    <w:p>
      <w:r>
        <w:rPr>
          <w:b/>
        </w:rPr>
        <w:t xml:space="preserve">Ergebnis: </w:t>
      </w:r>
      <w:r>
        <w:t>RWE diente in 2 Fällen als "substantive evidence", ansonsten als kontextuell/supportiv. Häufige Mängel: kleine Fallzahlen, Population-Heterogenität, fehlende Kovariaten, non-kontempore Vergleiche, Post-hoc-Design. Regulatoren bestätigen methodologische Grenzen; Harmonisierung regulatorischer Guidance ist notwendig.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USA-Zulassungssystem und EMA; Übertrag auf deutsches AMNOG-Verfahren begrenzt – AMNOG verlangt höhere RCT-Standard</w:t>
      </w:r>
    </w:p>
    <w:p>
      <w:r>
        <w:rPr>
          <w:color w:val="5A7D3A"/>
          <w:sz w:val="18"/>
        </w:rPr>
        <w:t>https://pubmed.ncbi.nlm.nih.gov/42664160/</w:t>
      </w:r>
    </w:p>
    <w:p>
      <w:pPr>
        <w:pStyle w:val="Heading2"/>
      </w:pPr>
      <w:r>
        <w:t>Dosiseskalation (80 Gy) bei Hochrisiko-Prostatakarzinom erhöht 10-Jahres-PFS deutlich</w:t>
      </w:r>
    </w:p>
    <w:p>
      <w:r>
        <w:rPr>
          <w:i/>
          <w:color w:val="666666"/>
          <w:sz w:val="18"/>
        </w:rPr>
        <w:t>Hennequin C et al.  ·  Lancet Oncol  ·  Sept. 2026  ·  PMID 42636837</w:t>
      </w:r>
    </w:p>
    <w:p>
      <w:r>
        <w:t>Französische Phase-III-Studie (GETUG-AFU-18) mit 505 Patienten mit hochrisiko Prostatakarzinom: Vergleich externe Strahlentherapie 80 Gy versus 70 Gy, kombiniert mit Langzeit-Androgenentzug, über 9,5 Jahre Median-Follow-up.</w:t>
      </w:r>
    </w:p>
    <w:p>
      <w:r>
        <w:rPr>
          <w:b/>
        </w:rPr>
        <w:t xml:space="preserve">Ergebnis: </w:t>
      </w:r>
      <w:r>
        <w:t>10-Jahres-PFS: 83,6 % (80-Gy-Arm) vs. 72,2 % (70-Gy-Arm), Hazard Ratio 0,56 (95% KI 0,40–0,78, p&lt;0,0001). 5-Jahres-PFS: 91,4 % vs. 88,1 %. Grad-3-Toxizität akut 24–25 %, spät 7–8 % in beiden Gruppen. Sexuelle und urogenitale Nebenwirkungen waren frequent, aber nicht unterschiedlich.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 Versicherungsstruktur; deutsche S3-Leitlinien zu Hochrisiko-Prostata-Strahlentherapie sollten Dosiseskalation prüfen</w:t>
      </w:r>
    </w:p>
    <w:p>
      <w:r>
        <w:rPr>
          <w:color w:val="5A7D3A"/>
          <w:sz w:val="18"/>
        </w:rPr>
        <w:t>https://pubmed.ncbi.nlm.nih.gov/42636837/</w:t>
      </w:r>
    </w:p>
    <w:p>
      <w:pPr>
        <w:pStyle w:val="Heading2"/>
      </w:pPr>
      <w:r>
        <w:t>Adjuvant Alectinib (600 mg b.i.d. × 24 Monate) bei ALK-positivem NSCLC nach Resektion: verträglicher, Lebensqualität erhalten</w:t>
      </w:r>
    </w:p>
    <w:p>
      <w:r>
        <w:rPr>
          <w:i/>
          <w:color w:val="666666"/>
          <w:sz w:val="18"/>
        </w:rPr>
        <w:t>Dziadziuszko R et al.  ·  Lancet Oncol  ·  Sept. 2026  ·  PMID 42636834</w:t>
      </w:r>
    </w:p>
    <w:p>
      <w:r>
        <w:t>Phase-III-ALINA-Studie, 257 Patienten mit reseziertem ALK+NSCLC (Stadium IB–IIIA): Vergleich Adjuvant-Alectinib versus Platinum-basierte Chemotherapie; Nebenwirkungen und Lebensqualität (SF-36v2) werden berichtet; Disease-Free-Survival bereits publiziert.</w:t>
      </w:r>
    </w:p>
    <w:p>
      <w:r>
        <w:rPr>
          <w:b/>
        </w:rPr>
        <w:t xml:space="preserve">Ergebnis: </w:t>
      </w:r>
      <w:r>
        <w:t>Schwergrad 3–4-AE mit Alectinib: 6% (CPK-Anstieg), vs. Chemotherapie 10% (Neutropenie). Therapie-Abbrüche: 5% vs. 13% (signifikant weniger mit Alectinib). SF-36v2-Domänen (Körperschmerz, Rollenfunktion, psychische Gesundheit, soziale Funktion, Vitalität) zeigten klinisch bedeutsame Verbesserung ab Woche 12; Scores blieben über 2 Jahre stabil bei Populationsnorm (50).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International; Alectinib bereits in Deutschland zugelassen, Verträglichkeitsdaten unterstützen adjuvante Standardisierung</w:t>
      </w:r>
    </w:p>
    <w:p>
      <w:r>
        <w:rPr>
          <w:color w:val="5A7D3A"/>
          <w:sz w:val="18"/>
        </w:rPr>
        <w:t>https://pubmed.ncbi.nlm.nih.gov/42636834/</w:t>
      </w:r>
    </w:p>
    <w:p>
      <w:pPr>
        <w:pStyle w:val="Heading2"/>
      </w:pPr>
      <w:r>
        <w:t>Durvalumab+Tremelimumab+Lenvatinib+TACE versus TACE allein bei Hepatozellulärem Karzinom: PFS-Vorteil</w:t>
      </w:r>
    </w:p>
    <w:p>
      <w:r>
        <w:rPr>
          <w:i/>
          <w:color w:val="666666"/>
          <w:sz w:val="18"/>
        </w:rPr>
        <w:t>Kudo M et al.  ·  Lancet Oncol  ·  Sept. 2026  ·  PMID 42636832</w:t>
      </w:r>
    </w:p>
    <w:p>
      <w:r>
        <w:t>Phase-III-Studie EMERALD-3 mit 760 Patienten (embolisierbar, Child-Pugh A): Vergleich STRIDE (Durvalumab+Tremelimumab) mit oder ohne Lenvatinib, kombiniert mit transarterieller Chemoembolisation (TACE), versus TACE allein.</w:t>
      </w:r>
    </w:p>
    <w:p>
      <w:r>
        <w:rPr>
          <w:b/>
        </w:rPr>
        <w:t xml:space="preserve">Ergebnis: </w:t>
      </w:r>
      <w:r>
        <w:t>Median-PFS (STRIDE+Lenvatinib vs. TACE): 13,0 vs. 9,8 Monate, HR 0,70 (95% KI 0,57–0,86, p=0,0007). Median-OS: 39,5 vs. 34,7 Monate, HR 0,84 (p=0,18, nicht signifikant). Grad-3/4-AE: Hypertonie 12% (STRIDE+Lenvatinib), post-embolization-Syndrom 6% (STRIDE+TACE). 7 Treatment-Related Deaths (2%). STRIDE-Regimen als neuer Standard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Global, inklusive europäischer Zentren; Zulassung in Genehmigungsverfahren, AMNOG-Bewertung ausstehend</w:t>
      </w:r>
    </w:p>
    <w:p>
      <w:r>
        <w:rPr>
          <w:color w:val="5A7D3A"/>
          <w:sz w:val="18"/>
        </w:rPr>
        <w:t>https://pubmed.ncbi.nlm.nih.gov/42636832/</w:t>
      </w:r>
    </w:p>
    <w:p>
      <w:pPr>
        <w:pStyle w:val="Heading1"/>
      </w:pPr>
      <w:r>
        <w:t>Aufgenommen am 14.09.2026</w:t>
      </w:r>
    </w:p>
    <w:p>
      <w:pPr>
        <w:pStyle w:val="Heading2"/>
      </w:pPr>
      <w:r>
        <w:t>Teclistamab in smolderendem Myelom hocheffektiv: Phase-2-Trial</w:t>
      </w:r>
    </w:p>
    <w:p>
      <w:r>
        <w:rPr>
          <w:i/>
          <w:color w:val="666666"/>
          <w:sz w:val="18"/>
        </w:rPr>
        <w:t>Nadeem O et al.  ·  Nat Med  ·  11.09.2026  ·  PMID 42728379</w:t>
      </w:r>
    </w:p>
    <w:p>
      <w:r>
        <w:t>Randomisierte Phase-2-ImmunoPRISM-Studie verglich Teclistamab (BCMA-Bispecific Antibody, Fixdauer) mit Lenalidomid/Dexamethason bei 59 Patienten mit Hochrisiko-smolderendem multiplem Myelom.</w:t>
      </w:r>
    </w:p>
    <w:p>
      <w:r>
        <w:rPr>
          <w:b/>
        </w:rPr>
        <w:t xml:space="preserve">Ergebnis: </w:t>
      </w:r>
      <w:r>
        <w:t>Teclistamab: komplette Remission 77,8% vs. 0% (Rd); minimale Resterkrankung-Negativität (10-5) 82,2%; 2-Jahres-Progressionsfreies Überleben 92% vs. 49%; Grad 1–2 Zytokine-Freisetzung, kein Grade-3-Infektionsanstieg, keine Todesfälle.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Phasen-2-Studie mit Potential für Frühintervention; internationale Prüfung, Übertragbarkeit begrenzt bis zur Phase-3-Validierung.</w:t>
      </w:r>
    </w:p>
    <w:p>
      <w:r>
        <w:rPr>
          <w:color w:val="5A7D3A"/>
          <w:sz w:val="18"/>
        </w:rPr>
        <w:t>https://pubmed.ncbi.nlm.nih.gov/42728379/</w:t>
      </w:r>
    </w:p>
    <w:p>
      <w:pPr>
        <w:pStyle w:val="Heading2"/>
      </w:pPr>
      <w:r>
        <w:t>HCC-Management in Asien nach europäischen Leitlinien adaptiert</w:t>
      </w:r>
    </w:p>
    <w:p>
      <w:r>
        <w:rPr>
          <w:i/>
          <w:color w:val="666666"/>
          <w:sz w:val="18"/>
        </w:rPr>
        <w:t>Tan CK et al.  ·  ESMO Open  ·  09.07.2026  ·  PMID 42660571</w:t>
      </w:r>
    </w:p>
    <w:p>
      <w:r>
        <w:t>Pan-asiatische Expertengruppe adaptierte ESMO-Leitlinien zu Diagnose, Therapie und Nachsorge des Hepatozellulären Karzinoms für zehn asiatische Länder.</w:t>
      </w:r>
    </w:p>
    <w:p>
      <w:r>
        <w:rPr>
          <w:b/>
        </w:rPr>
        <w:t xml:space="preserve">Ergebnis: </w:t>
      </w:r>
      <w:r>
        <w:t>Konsens-Richtlinie mit regionsspezifischen Empfehlungen verabschiedet; Fokus auf harmonisierte Behandlung und Zugang trotz regionaler Unterschiede in Arzneimittelzulassung und Erstattung.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Leitlinie mit europäischen Standards, aber auch asiatischen Besonderheiten; teilweise auf deutsches System übertragbar.</w:t>
      </w:r>
    </w:p>
    <w:p>
      <w:r>
        <w:rPr>
          <w:color w:val="5A7D3A"/>
          <w:sz w:val="18"/>
        </w:rPr>
        <w:t>https://pubmed.ncbi.nlm.nih.gov/42660571/</w:t>
      </w:r>
    </w:p>
    <w:p>
      <w:pPr>
        <w:pStyle w:val="Heading2"/>
      </w:pPr>
      <w:r>
        <w:t>Epigenetisches Altern in Dickdarmgewebe zeigt Lebensstilfaktoren-Einfluss</w:t>
      </w:r>
    </w:p>
    <w:p>
      <w:r>
        <w:rPr>
          <w:i/>
          <w:color w:val="666666"/>
          <w:sz w:val="18"/>
        </w:rPr>
        <w:t>Hardikar S et al.  ·  J Natl Cancer Inst  ·  25.08.2026  ·  PMID 42640567</w:t>
      </w:r>
    </w:p>
    <w:p>
      <w:r>
        <w:t>Analyse von epigenetischen Alterungsmodellen (Horvath, Hannum, Zhang u.a.) in Kolonialgewebe von 554 Proben (96 normal, 245 angrenzend, 208 Tumore) zur Untersuchung von Zusammenhängen mit Lebensstilfaktoren und Krebsentwicklung.</w:t>
      </w:r>
    </w:p>
    <w:p>
      <w:r>
        <w:rPr>
          <w:b/>
        </w:rPr>
        <w:t xml:space="preserve">Ergebnis: </w:t>
      </w:r>
      <w:r>
        <w:t>Horvath-Modell zeigte beste Korrelation mit chronologischem Alter (r &gt;0,70) in normalem Gewebe; signifikante Alters-Beschleunigung in tumoren vs. normal/angrenzend bei allen Modellen; körperliche Aktivität (PhenoAge), Rauchen (GrimAge) und Alkoholkonsum (Horvath, Mitose-Uhren) assoziiert mit epigenetischem Altern in angrenzender Mukosa.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USA/deutsche Zentren, diverse Populationen; Grundlagenforschung zu Risikostratifikation.</w:t>
      </w:r>
    </w:p>
    <w:p>
      <w:r>
        <w:rPr>
          <w:color w:val="5A7D3A"/>
          <w:sz w:val="18"/>
        </w:rPr>
        <w:t>https://pubmed.ncbi.nlm.nih.gov/42640567/</w:t>
      </w:r>
    </w:p>
    <w:p>
      <w:pPr>
        <w:pStyle w:val="Heading2"/>
      </w:pPr>
      <w:r>
        <w:t>Tebentafusp gegen Uveales Melanom im UK-Programm wirksam wie Phase-3-Daten</w:t>
      </w:r>
    </w:p>
    <w:p>
      <w:r>
        <w:rPr>
          <w:i/>
          <w:color w:val="666666"/>
          <w:sz w:val="18"/>
        </w:rPr>
        <w:t>Joseph M et al.  ·  Oncologist  ·  09.09.2026  ·  PMID 42640561</w:t>
      </w:r>
    </w:p>
    <w:p>
      <w:r>
        <w:t>Retrospektive Real-World-Effektivitäts- und Toxizitäts-Analyse der UK Expanded Access Programme (EAP) mit 88 Patienten mit metastasiertem uvealen Melanom, behandelt Juli 2021–Juni 2023.</w:t>
      </w:r>
    </w:p>
    <w:p>
      <w:r>
        <w:rPr>
          <w:b/>
        </w:rPr>
        <w:t xml:space="preserve">Ergebnis: </w:t>
      </w:r>
      <w:r>
        <w:t>Medianes Gesamtüberleben 21 Monate (95%-KI 17-NR); medianes progressionsfreies Überleben 2,76 Monate (95%-KI 2,53–3,22); 12-Monats-Überlebenrate 75% (95%-KI 66,1–85,6); niedrigere LDH und niedrigere Leberlastung tendierten zu besserem Überleben; LDH ≥2× obere Normgrenze zeigte sehr schlechte Prognose; keine Grade ≥3 Toxizität nach Dosis 5.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Britisches NHS-System, vergleichbar mit deutschem, Real-World-Evidenz für Kostenträger relevant.</w:t>
      </w:r>
    </w:p>
    <w:p>
      <w:r>
        <w:rPr>
          <w:color w:val="5A7D3A"/>
          <w:sz w:val="18"/>
        </w:rPr>
        <w:t>https://pubmed.ncbi.nlm.nih.gov/42640561/</w:t>
      </w:r>
    </w:p>
    <w:p>
      <w:pPr>
        <w:pStyle w:val="Heading2"/>
      </w:pPr>
      <w:r>
        <w:t>Daratumumab+Lenalidomid verlängert Überleben im älteren Myelom dauerhaft</w:t>
      </w:r>
    </w:p>
    <w:p>
      <w:r>
        <w:rPr>
          <w:i/>
          <w:color w:val="666666"/>
          <w:sz w:val="18"/>
        </w:rPr>
        <w:t>Facon T et al.  ·  Leukemia  ·  24.08.2026  ·  PMID 42637879</w:t>
      </w:r>
    </w:p>
    <w:p>
      <w:r>
        <w:t>Finale Analyse der MAIA-Studie: Randomisierte Phase-III-Prüfung zu Daratumumab+Lenalidomid/Dexamethason (D-Rd) vs. Lenalidomid/Dexamethason (Rd) bei 737 nicht-transplant-fähigen Patienten mit neu diagnostiziertem multiplem Myelom.</w:t>
      </w:r>
    </w:p>
    <w:p>
      <w:r>
        <w:rPr>
          <w:b/>
        </w:rPr>
        <w:t xml:space="preserve">Ergebnis: </w:t>
      </w:r>
      <w:r>
        <w:t>Medianes Gesamtüberleben: 90,3 Monate (D-Rd) vs. 64,1 Monate (Rd), HR 0,67 (95%-KI 0,55–0,82); 7-Jahres-Überleben 53,1% vs. 39,3%; mediane Zeit bis Folgetherapie nicht erreicht vs. 42,4 Monate. Follow-up &gt;7 Jahre.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Studie; Basis für Leitlinienstandard bei älteren Patienten, in Deutschland anwendbar.</w:t>
      </w:r>
    </w:p>
    <w:p>
      <w:r>
        <w:rPr>
          <w:color w:val="5A7D3A"/>
          <w:sz w:val="18"/>
        </w:rPr>
        <w:t>https://pubmed.ncbi.nlm.nih.gov/42637879/</w:t>
      </w:r>
    </w:p>
    <w:p>
      <w:pPr>
        <w:pStyle w:val="Heading2"/>
      </w:pPr>
      <w:r>
        <w:t>Olaparib-Erhaltung bei BRCA-mutiertem Brustkrebs: 6-Jahres-Vorteile halten an</w:t>
      </w:r>
    </w:p>
    <w:p>
      <w:r>
        <w:rPr>
          <w:i/>
          <w:color w:val="666666"/>
          <w:sz w:val="18"/>
        </w:rPr>
        <w:t>Garber JE et al.  ·  Ann Oncol  ·  24.08.2026  ·  PMID 42636977</w:t>
      </w:r>
    </w:p>
    <w:p>
      <w:r>
        <w:t>Dritte geplante Zwischenanalyse der randomisierten Phase-III-OlympiA-Studie zu adjuvantem Olaparib (PARP-Inhibitor) versus Placebo nach Chemotherapie bei 1.836 Patientinnen mit Keimbahn-BRCA-Mutation und HER2-negativem Hochrisiko-Brustkrebs.</w:t>
      </w:r>
    </w:p>
    <w:p>
      <w:r>
        <w:rPr>
          <w:b/>
        </w:rPr>
        <w:t xml:space="preserve">Ergebnis: </w:t>
      </w:r>
      <w:r>
        <w:t>Bei 6,1 Jahren medianer Nachbeobachtung: Invasives rezidivfreies Überleben (HR 0,65; 95%-KI 0,53–0,78), Gesamtüberleben (HR 0,72; 95%-KI 0,56–0,93); 6-Jahres-Überleben 87,5% vs. 83,2%; keine neuen Sicherheitssignale, kein erhöhtes MDS/AML-Risiko (0,4% vs. 0,7%).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 mit europäischen und deutschen Zentren; Befund ändert Leitlinienempfehlungen.</w:t>
      </w:r>
    </w:p>
    <w:p>
      <w:r>
        <w:rPr>
          <w:color w:val="5A7D3A"/>
          <w:sz w:val="18"/>
        </w:rPr>
        <w:t>https://pubmed.ncbi.nlm.nih.gov/42636977/</w:t>
      </w:r>
    </w:p>
    <w:p>
      <w:pPr>
        <w:pStyle w:val="Heading1"/>
      </w:pPr>
      <w:r>
        <w:t>Aufgenommen am 13.09.2026</w:t>
      </w:r>
    </w:p>
    <w:p>
      <w:pPr>
        <w:pStyle w:val="Heading2"/>
      </w:pPr>
      <w:r>
        <w:t>Genomische Alterationen in Hirn-Metastasen von Brustkrebs: 76,8 % haben therapeutisch nutzbare Targets</w:t>
      </w:r>
    </w:p>
    <w:p>
      <w:r>
        <w:rPr>
          <w:i/>
          <w:color w:val="666666"/>
          <w:sz w:val="18"/>
        </w:rPr>
        <w:t>Griguolo G et al.  ·  ESMO Open  ·  11.09.2026  ·  PMID 42727421</w:t>
      </w:r>
    </w:p>
    <w:p>
      <w:r>
        <w:t>Whole-exome-Sequenzierung von 56 Hirn-Metastasen-Proben aus Brustkrebs-Patienten zur Identifikation klinisch umsetzbarer genomischer Alterationen nach ESCAT-Kriterien.</w:t>
      </w:r>
    </w:p>
    <w:p>
      <w:r>
        <w:rPr>
          <w:b/>
        </w:rPr>
        <w:t xml:space="preserve">Ergebnis: </w:t>
      </w:r>
      <w:r>
        <w:t>76,8 % zeigten ESCAT-I/II-Alterationen; häufigste waren DNA-Reparatur-Gene (BRCA1/2/PALB2: 53,6 %); biallele Inaktivierung bei 19,6 % (höher bei HER2-negativ: 26 % HR-neg/HER2-neg, 21 % HR-pos/HER2-neg); PIK3CA/AKT1/PTEN-Alterationen in 48,2 %; kein ESR1 in HR-positiven; hotspot PIK3CA bei HER2-positivem assoziiert mit schlechterer Prognose.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Italienisch-französische Kooperation, ESCAT-Klassifikation europäisch – direkt auf deutsches Targeting-System übertragbar.</w:t>
      </w:r>
    </w:p>
    <w:p>
      <w:r>
        <w:rPr>
          <w:color w:val="5A7D3A"/>
          <w:sz w:val="18"/>
        </w:rPr>
        <w:t>https://pubmed.ncbi.nlm.nih.gov/42727421/</w:t>
      </w:r>
    </w:p>
    <w:p>
      <w:pPr>
        <w:pStyle w:val="Heading2"/>
      </w:pPr>
      <w:r>
        <w:t>Hautkrebs-Bestrahlungen um 79% gestiegen: Trends der Radioonkologie 2015–2022</w:t>
      </w:r>
    </w:p>
    <w:p>
      <w:r>
        <w:rPr>
          <w:i/>
          <w:color w:val="666666"/>
          <w:sz w:val="18"/>
        </w:rPr>
        <w:t>Diefenhardt M et al.  ·  Strahlenther Onkol  ·  11.09.2026  ·  PMID 42726226</w:t>
      </w:r>
    </w:p>
    <w:p>
      <w:r>
        <w:t>Retrospektive Analyse von 8.842 Patienten in einer deutschen Uniklinik-Radiotherapie zwischen 2015 und 2022 zu Trends in Tumorentitäten, Alter und Behandlungsabständen.</w:t>
      </w:r>
    </w:p>
    <w:p>
      <w:r>
        <w:rPr>
          <w:b/>
        </w:rPr>
        <w:t xml:space="preserve">Ergebnis: </w:t>
      </w:r>
      <w:r>
        <w:t>Hautkrebs-Bestrahlungen stiegen um 79 %, Prostata um 10 %, Medianalter von 62 auf 64 Jahre; 47 % der Patienten kamen aus 10-km-Radius; Pandemie 2020-2021 führte zu keinen signifikanten Veränderungen in Patientenzahlen oder Tumortyp-Verteilung.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Uniklinik-Daten, direkt auf deutsches Radiotherapie-Versorgungssystem übertragbar.</w:t>
      </w:r>
    </w:p>
    <w:p>
      <w:r>
        <w:rPr>
          <w:color w:val="5A7D3A"/>
          <w:sz w:val="18"/>
        </w:rPr>
        <w:t>https://pubmed.ncbi.nlm.nih.gov/42726226/</w:t>
      </w:r>
    </w:p>
    <w:p>
      <w:pPr>
        <w:pStyle w:val="Heading2"/>
      </w:pPr>
      <w:r>
        <w:t>Cell-free DNA in Großzelliger B-Zell-Lymphom: technische Anforderungen für Minimal-Residual-Disease-Monitoring</w:t>
      </w:r>
    </w:p>
    <w:p>
      <w:r>
        <w:rPr>
          <w:i/>
          <w:color w:val="666666"/>
          <w:sz w:val="18"/>
        </w:rPr>
        <w:t>Krupka JA et al.  ·  Blood  ·  03.09.2026  ·  PMID 42691013</w:t>
      </w:r>
    </w:p>
    <w:p>
      <w:r>
        <w:t>Narrative Übersichtsarbeit zu ctDNA-Einsatz im diffusen großzelligen B-Zell-Lymphom mit Fokus auf technische Herausforderungen, Assay-Design und klinische Implementierung.</w:t>
      </w:r>
    </w:p>
    <w:p>
      <w:r>
        <w:rPr>
          <w:b/>
        </w:rPr>
        <w:t xml:space="preserve">Ergebnis: </w:t>
      </w:r>
      <w:r>
        <w:t>Tumor-informierte Assays mit mehreren genetischen Markern verbessern Sensitivität des Monitoring substanziell; Standardisierung und prospektive Validierung sind notwendig für Routineimplementierung; niedrige ctDNA-Häufigkeit und Unterscheidung von niedrigen Allel-Fraktionen bleiben Hauptprobleme.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Technisches Review ohne spezifische Zahlen, eher Empfehlungscharakter; europäische Kontributoren.</w:t>
      </w:r>
    </w:p>
    <w:p>
      <w:r>
        <w:rPr>
          <w:color w:val="5A7D3A"/>
          <w:sz w:val="18"/>
        </w:rPr>
        <w:t>https://pubmed.ncbi.nlm.nih.gov/42691013/</w:t>
      </w:r>
    </w:p>
    <w:p>
      <w:pPr>
        <w:pStyle w:val="Heading2"/>
      </w:pPr>
      <w:r>
        <w:t>Tumor-Protein ADAMTSL4 treibt Kachexie durch TGFβ-Aktivierung – therapeutisches Ziel identifiziert</w:t>
      </w:r>
    </w:p>
    <w:p>
      <w:r>
        <w:rPr>
          <w:i/>
          <w:color w:val="666666"/>
          <w:sz w:val="18"/>
        </w:rPr>
        <w:t>Machado J et al.  ·  Cancer Discov  ·  01.09.2026  ·  PMID 42678278</w:t>
      </w:r>
    </w:p>
    <w:p>
      <w:r>
        <w:t>Mechanistische Studie in Modellen und Patienten mit kolorektalem und Lungenkarzinom zur Rolle von Tumor-Sekretion von ADAMTSL4 in der Pathogenese von Krebs-Kachexie.</w:t>
      </w:r>
    </w:p>
    <w:p>
      <w:r>
        <w:rPr>
          <w:b/>
        </w:rPr>
        <w:t xml:space="preserve">Ergebnis: </w:t>
      </w:r>
      <w:r>
        <w:t>ADAMTSL4-Überexpression machte nicht-kachektische Tumoren zu kachektischen; ADAMTSL4-Knockout reduzierte Muskelatrophie-Signaturen und Kachexie-Schweregrad; erhöhte zirkulierende ADAMTSL4-Level waren mit TGFβ-getriebener Muskelatrophie in Kachexie-Patienten assoziiert; ADAMTSL4-Blockade könnte selektive Therapie ohne systemische TGFβ-Blockade ermöglichen.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 mit deutschen und internationalen Zentren; präklinisches Modell mit klinischer Validierung – Weg zur Therapeutik erkennbar.</w:t>
      </w:r>
    </w:p>
    <w:p>
      <w:r>
        <w:rPr>
          <w:color w:val="5A7D3A"/>
          <w:sz w:val="18"/>
        </w:rPr>
        <w:t>https://pubmed.ncbi.nlm.nih.gov/42678278/</w:t>
      </w:r>
    </w:p>
    <w:p>
      <w:pPr>
        <w:pStyle w:val="Heading2"/>
      </w:pPr>
      <w:r>
        <w:t>Durvalumab perioperativ bei resektablem NSCLC: AEGEAN-Phase-III-Studie verbessert ereignisfreies Überleben</w:t>
      </w:r>
    </w:p>
    <w:p>
      <w:r>
        <w:rPr>
          <w:i/>
          <w:color w:val="666666"/>
          <w:sz w:val="18"/>
        </w:rPr>
        <w:t>Heymach JV et al.  ·  J Clin Oncol  ·  28.08.2026  ·  PMID 42664473</w:t>
      </w:r>
    </w:p>
    <w:p>
      <w:r>
        <w:t>Phase-III-Studie mit 740 Patienten zu neoadjuvanter Chemotherapie plus Durvalumab oder Placebo vor Operation und anschließender adjuvanter Durvalumab/Placebo-Therapie beim resektablen NSCLC Stadium II-IIIB.</w:t>
      </w:r>
    </w:p>
    <w:p>
      <w:r>
        <w:rPr>
          <w:b/>
        </w:rPr>
        <w:t xml:space="preserve">Ergebnis: </w:t>
      </w:r>
      <w:r>
        <w:t>Durvalumab reduzierte ereignisfreies Überleben (HR 0,69; 95%-KI 0,55–0,88), Zahlentrend für progressionsfreies Überleben (HR 0,66) und Gesamtüberleben (HR 0,89); Grad-3/4-Nebenwirkungen unter adjuvanter Therapie: 15,4 % vs. 10,6 % Placebo; Sicherheitsprofil konsistent mit Einzelsubstanzen.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Phase-III-Studie mit europäischen Zentren; praxisverändernd bei AMNOG und Zulassung.</w:t>
      </w:r>
    </w:p>
    <w:p>
      <w:r>
        <w:rPr>
          <w:color w:val="5A7D3A"/>
          <w:sz w:val="18"/>
        </w:rPr>
        <w:t>https://pubmed.ncbi.nlm.nih.gov/42664473/</w:t>
      </w:r>
    </w:p>
    <w:p>
      <w:pPr>
        <w:pStyle w:val="Heading2"/>
      </w:pPr>
      <w:r>
        <w:t>Dynamisches Prognose-Modell CIRI2-CLL für Rezidivrisiko nach limitierter Therapie verbessert Vorhersage um bis zu 37 %</w:t>
      </w:r>
    </w:p>
    <w:p>
      <w:r>
        <w:rPr>
          <w:i/>
          <w:color w:val="666666"/>
          <w:sz w:val="18"/>
        </w:rPr>
        <w:t>Al-Sawaf O et al.  ·  J Clin Oncol  ·  27.08.2026  ·  PMID 42659576</w:t>
      </w:r>
    </w:p>
    <w:p>
      <w:r>
        <w:t>Validierungsstudie eines verfeinerten kontinuierlichen Risikoindex (CIRI2-CLL) zur Prognosebestimmung nach limitierter Behandlung der chronischen lymphatischen Leukämie mit Minimal-Residual-Disease-Status.</w:t>
      </w:r>
    </w:p>
    <w:p>
      <w:r>
        <w:rPr>
          <w:b/>
        </w:rPr>
        <w:t xml:space="preserve">Ergebnis: </w:t>
      </w:r>
      <w:r>
        <w:t>CIRI2-CLL zeigte gute Kalibrierung (ca. 5 % Differenz zwischen beobachteter und vorhergesagter Ereigniswahrscheinlichkeit); C-Statistik 0,82–0,98 an allen Zeitpunkten; 14–37 % Verbesserung der PFS-Vorhersage gegenüber MRD und CLL-IPI; 3-Jahres-PFS: 100,0 % (niedrig), 70,2 % (mittel), 10,8 % (hoch); Modell frei verfügbar auf Stanford-Plattform für individualisierte Therapieentscheidung.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CLL-Studiengruppe führend; validiert in europäischen und internationalen Kohorten.</w:t>
      </w:r>
    </w:p>
    <w:p>
      <w:r>
        <w:rPr>
          <w:color w:val="5A7D3A"/>
          <w:sz w:val="18"/>
        </w:rPr>
        <w:t>https://pubmed.ncbi.nlm.nih.gov/42659576/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>PRO-Symptommonitoring bei Lungenkrebspatienten verlängert Gesamtüberleben um 5 Monate</w:t>
      </w:r>
    </w:p>
    <w:p>
      <w:r>
        <w:rPr>
          <w:i/>
          <w:color w:val="666666"/>
          <w:sz w:val="18"/>
        </w:rPr>
        <w:t>Hassing MJ et al.  ·  Lancet Oncol  ·  11.09.2026  ·  PMID 42727592</w:t>
      </w:r>
    </w:p>
    <w:p>
      <w:r>
        <w:t>Randomisierte niederländische Studie (14 medizinische Zentren, Stepped-Wedge-Design) zur Wirkung wöchentlicher Online-Symptomselbstberichte auf Überleben bei Patienten mit Lung Cancer im Stadium I-IV unter Behandlung.</w:t>
      </w:r>
    </w:p>
    <w:p>
      <w:r>
        <w:rPr>
          <w:b/>
        </w:rPr>
        <w:t xml:space="preserve">Ergebnis: </w:t>
      </w:r>
      <w:r>
        <w:t>Bei 446 Patienten (median 50 Monate Follow-up): Median Overall Survival in der Intervention 26 Monate versus Kontrolle 21 Monate (Hazard Ratio 0,80; 95%-CI 0,63–1,00; p=0,049). Progression-Free Survival zeigte keinen signifikanten Unterschied (HR 0,86; p=0,18). Praxisrelevant: strukturierte Patient-Reported Outcomes ermöglichen 5-Monate-Gewinn bei aktuellen Therapien.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Klinikdaten mit Versorgungsauftrag ähnlich Deutschland</w:t>
      </w:r>
    </w:p>
    <w:p>
      <w:r>
        <w:rPr>
          <w:color w:val="5A7D3A"/>
          <w:sz w:val="18"/>
        </w:rPr>
        <w:t>https://pubmed.ncbi.nlm.nih.gov/42727592/</w:t>
      </w:r>
    </w:p>
    <w:p>
      <w:pPr>
        <w:pStyle w:val="Heading2"/>
      </w:pPr>
      <w:r>
        <w:t>Trastuzumab Botidotin gegenüber Trastuzumab Emtansine: 11,1 vs. 4,4 Monate progressionsfreies Überleben</w:t>
      </w:r>
    </w:p>
    <w:p>
      <w:r>
        <w:rPr>
          <w:i/>
          <w:color w:val="666666"/>
          <w:sz w:val="18"/>
        </w:rPr>
        <w:t>Zhang J et al.  ·  J Clin Oncol  ·  11.09.2026  ·  PMID 42727044</w:t>
      </w:r>
    </w:p>
    <w:p>
      <w:r>
        <w:t>Phase-III-Studie (365 Patienten, China, 57 Zentren) mit randomisierter Direktvergleich zweier HER2-gerichteter Antikörper-Wirkstoff-Konjugate bei vorbehandeltem HER2-positivem metastasiertem Brustkrebs.</w:t>
      </w:r>
    </w:p>
    <w:p>
      <w:r>
        <w:rPr>
          <w:b/>
        </w:rPr>
        <w:t xml:space="preserve">Ergebnis: </w:t>
      </w:r>
      <w:r>
        <w:t>Trastuzumab Botidotin vs. Trastuzumab Emtansine: medianes Progression-Free Survival 11,1 vs. 4,4 Monate (HR 0,39; p&lt;0,0001); Objective Response Rate 76,9% vs. 53,0%. Grade ≥3 unerwünschte Ereignisse 69,8% vs. 63,7%, höchste Inzidenz bei Augenoberflächen-Toxizität (47,7%), aber meist reversibel.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Botidotin hat EU-Zulassung; Übertragbarkeit für deutsche Zentren gegeben</w:t>
      </w:r>
    </w:p>
    <w:p>
      <w:r>
        <w:rPr>
          <w:color w:val="5A7D3A"/>
          <w:sz w:val="18"/>
        </w:rPr>
        <w:t>https://pubmed.ncbi.nlm.nih.gov/42727044/</w:t>
      </w:r>
    </w:p>
    <w:p>
      <w:pPr>
        <w:pStyle w:val="Heading2"/>
      </w:pPr>
      <w:r>
        <w:t>Lokale Therapie + Immune Checkpoint Inhibitor bei rezidiviertem/metastasiertem Nasopharynxkarzinom: 30,5 vs. 16,8 Monate PFS</w:t>
      </w:r>
    </w:p>
    <w:p>
      <w:r>
        <w:rPr>
          <w:i/>
          <w:color w:val="666666"/>
          <w:sz w:val="18"/>
        </w:rPr>
        <w:t>Chen X et al.  ·  Eur J Cancer  ·  27.08.2026  ·  PMID 42721861</w:t>
      </w:r>
    </w:p>
    <w:p>
      <w:r>
        <w:t>Retrospektive chinesische Studie (223 Patienten, Fudan University Shanghai) zum Vergleich von ICI allein versus lokale Therapie kombiniert mit ICI (LOCI) bei rezidiviertem oder metastasiertem Nasopharynxkarzinom; IPTW und Propensity-Score-Matching zur Confounding-Kontrolle.</w:t>
      </w:r>
    </w:p>
    <w:p>
      <w:r>
        <w:rPr>
          <w:b/>
        </w:rPr>
        <w:t xml:space="preserve">Ergebnis: </w:t>
      </w:r>
      <w:r>
        <w:t>Median Progression-Free Survival mit LOCI 30,53 Monate vs. ICI allein 16,77 Monate (HR 0,524; 95%-CI 0,339–0,785; log-rank p=0,0014). Benefit nach PSM und IPTW-Adjustment bestätigt. Bei lokalem Rezidiv oder Nodusbefall (LRR-NPC): verbessertes Distant-Metastasis-Free-Survival (HR 0,437). Bei Oligometastasen (≤3 Läsionen) ebenfalls PFS-Vorteil (HR 0,458; p=0,0416).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Strahlentherapie mit ICI-Standard auch europäisch; Real-World-Ansatz übertragbar</w:t>
      </w:r>
    </w:p>
    <w:p>
      <w:r>
        <w:rPr>
          <w:color w:val="5A7D3A"/>
          <w:sz w:val="18"/>
        </w:rPr>
        <w:t>https://pubmed.ncbi.nlm.nih.gov/42721861/</w:t>
      </w:r>
    </w:p>
    <w:p>
      <w:pPr>
        <w:pStyle w:val="Heading2"/>
      </w:pPr>
      <w:r>
        <w:t>EORTC QLQ-CHI: erste Lebensqualitätsskala speziell für Kinder mit Krebs (8–14 Jahre)</w:t>
      </w:r>
    </w:p>
    <w:p>
      <w:r>
        <w:rPr>
          <w:i/>
          <w:color w:val="666666"/>
          <w:sz w:val="18"/>
        </w:rPr>
        <w:t>Vetrano C et al.  ·  Eur J Cancer  ·  05.10.2026  ·  PMID 42685381</w:t>
      </w:r>
    </w:p>
    <w:p>
      <w:r>
        <w:t>Mixed-Methods-Studie (Phasen I/II) zur Entwicklung eines EORTC-Fragebogenmoduls; 47 Kinder, 45 Eltern, 22 Fachleute aus 6 Ländern; Leitlinien der EORTC Quality-of-Life Group.</w:t>
      </w:r>
    </w:p>
    <w:p>
      <w:r>
        <w:rPr>
          <w:b/>
        </w:rPr>
        <w:t xml:space="preserve">Ergebnis: </w:t>
      </w:r>
      <w:r>
        <w:t>57 Schlüsselprobleme identifiziert aus 1.200+ initial bewerteten Aspekten (Vergleich Kinder-, Eltern- und Fachperspektive). Kinder präferierten 4 Antwortoptionen (70,0%) und kürzere Recall-Periode (43,3%). Fragebogen mit 50 Items in zwei Skalenbereiche eingeteilt: symptomorientiert und psychosozial. Nächste Schritte: Pilottestung (Phase III/IV), Validierung.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Netzwerk (EORTC), Grundlage für standardisierte Erfassung in Zentren</w:t>
      </w:r>
    </w:p>
    <w:p>
      <w:r>
        <w:rPr>
          <w:color w:val="5A7D3A"/>
          <w:sz w:val="18"/>
        </w:rPr>
        <w:t>https://pubmed.ncbi.nlm.nih.gov/42685381/</w:t>
      </w:r>
    </w:p>
    <w:p>
      <w:pPr>
        <w:pStyle w:val="Heading2"/>
      </w:pPr>
      <w:r>
        <w:t>Tislelizumab + Chemotherapie bei Ösophaguskarzinom: 45-Monate-Überleben</w:t>
      </w:r>
    </w:p>
    <w:p>
      <w:r>
        <w:rPr>
          <w:i/>
          <w:color w:val="666666"/>
          <w:sz w:val="18"/>
        </w:rPr>
        <w:t>Tougeron D et al.  ·  ESMO Open  ·  27.08.2026  ·  PMID 42659894</w:t>
      </w:r>
    </w:p>
    <w:p>
      <w:r>
        <w:t>Randomisierte Phase-III-Studie (RATIONALE-306) mit 649 Patienten weltweit; Analyse der Subgruppe mit PD-L1 Tumor Area Positivity ≥5% im Langzeit-Follow-up.</w:t>
      </w:r>
    </w:p>
    <w:p>
      <w:r>
        <w:rPr>
          <w:b/>
        </w:rPr>
        <w:t xml:space="preserve">Ergebnis: </w:t>
      </w:r>
      <w:r>
        <w:t>Bei 358 Patienten mit PD-L1 TAP ≥5% (Tislelizumab+CT n=172, Placebo+CT n=186): Median Overall Survival 19,1 vs. 10,0 Monate (HR 0,61); Progression-Free Survival 8,2 vs. 5,5 Monate (HR 0,50); Objektive Ansprechrate 71,5% vs. 41,4%. Haltbarkeit über 45 Monate bestätigt; Sicherheitsprofil unverändert.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Therapie europäisch zugelassen (EMA-Empfehlung PD-L1-Stratifizierung)</w:t>
      </w:r>
    </w:p>
    <w:p>
      <w:r>
        <w:rPr>
          <w:color w:val="5A7D3A"/>
          <w:sz w:val="18"/>
        </w:rPr>
        <w:t>https://pubmed.ncbi.nlm.nih.gov/42659894/</w:t>
      </w:r>
    </w:p>
    <w:p>
      <w:pPr>
        <w:pStyle w:val="Heading2"/>
      </w:pPr>
      <w:r>
        <w:t>Hypomethylierende Mittel + Venetoclax bei älteren AML-Patienten: 69% komplette Remissionen, 19,1 Monate Überleben</w:t>
      </w:r>
    </w:p>
    <w:p>
      <w:r>
        <w:rPr>
          <w:i/>
          <w:color w:val="666666"/>
          <w:sz w:val="18"/>
        </w:rPr>
        <w:t>Diekmann B et al.  ·  Eur J Cancer  ·  05.10.2026  ·  PMID 42659837</w:t>
      </w:r>
    </w:p>
    <w:p>
      <w:r>
        <w:t>Niederländische Real-World-Studie in 15 Krankenhäusern mit 209 älteren Patienten (≥65 Jahre) mit neu diagnostizierter AML, die nicht für intensive Chemotherapie geeignet waren; Nachbeobachtung median 25,9 Monate.</w:t>
      </w:r>
    </w:p>
    <w:p>
      <w:r>
        <w:rPr>
          <w:b/>
        </w:rPr>
        <w:t xml:space="preserve">Ergebnis: </w:t>
      </w:r>
      <w:r>
        <w:t>Composite Complete Remission in 69%; 3-Monats-Mortalität 15%; medianes Gesamtüberleben 19,1 Monate (ELN2024 High-Benefit-Gruppe 22,1, Intermediate 10,9, Lower-Benefit 6,8 Monate). Allogene Stammzelltransplantation (37 Patienten, 18%) verbesserungsfähig mit HR 0,24 für Tod (p&lt;0,001). Antifungale Agenten in 72% der ersten Zyklen assoziiert mit reduzierter Mortalität (HR 0,605; p=0,010).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Niederländisches Versicherungssystem, vergleichbar Deutschland; Dosierungsoptimierung und Wechselwirkungen reduzieren Kosten</w:t>
      </w:r>
    </w:p>
    <w:p>
      <w:r>
        <w:rPr>
          <w:color w:val="5A7D3A"/>
          <w:sz w:val="18"/>
        </w:rPr>
        <w:t>https://pubmed.ncbi.nlm.nih.gov/42659837/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Acht Mutationsmuster definieren Prostatakrebs-Subtypen mit unterschiedlichem Metastasierungs- und Therapierisiko</w:t>
      </w:r>
    </w:p>
    <w:p>
      <w:r>
        <w:rPr>
          <w:i/>
          <w:color w:val="666666"/>
          <w:sz w:val="18"/>
        </w:rPr>
        <w:t>Gruber AJ et al.  ·  Nature  ·  09.09.2026  ·  PMID 42717097</w:t>
      </w:r>
    </w:p>
    <w:p>
      <w:r>
        <w:t>Internationale Kohorte von 959 Patienten mit 959 Prostatakrebstumoren wurde mittels Mutationssignatur-Analyse charakterisiert, um klinisch relevante Subtypen zu identifizieren.</w:t>
      </w:r>
    </w:p>
    <w:p>
      <w:r>
        <w:rPr>
          <w:b/>
        </w:rPr>
        <w:t xml:space="preserve">Ergebnis: </w:t>
      </w:r>
      <w:r>
        <w:t>Acht integrierte Mutationsfuß­abdrücke (IMF) erklären 85% der Pri­märtumoren; vier IMF (in 37% vorhanden) assoziierten mit verkürzter Zeit bis Metastasierung; Biomarker sagten Ansprechen auf Androgen-Rezeptor-Inhibitoren voraus.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Zentren, deutsche DKFZ-Beteiligung; Grundlage für zukünftige Risikoschichtung im deutschen Versorgungssystem.</w:t>
      </w:r>
    </w:p>
    <w:p>
      <w:r>
        <w:rPr>
          <w:color w:val="5A7D3A"/>
          <w:sz w:val="18"/>
        </w:rPr>
        <w:t>https://pubmed.ncbi.nlm.nih.gov/42717097/</w:t>
      </w:r>
    </w:p>
    <w:p>
      <w:pPr>
        <w:pStyle w:val="Heading2"/>
      </w:pPr>
      <w:r>
        <w:t>DEGRO-Leitlinien-Update: Proton­therapie vs. Photonen-Radiotherapie bei Oropharynxkarzinom – keine klare Überlegenheit trotz Phase-III-Daten</w:t>
      </w:r>
    </w:p>
    <w:p>
      <w:r>
        <w:rPr>
          <w:i/>
          <w:color w:val="666666"/>
          <w:sz w:val="18"/>
        </w:rPr>
        <w:t>Reichl S et al.  ·  Strahlenther Onkol  ·  07.09.2026  ·  PMID 42706355</w:t>
      </w:r>
    </w:p>
    <w:p>
      <w:r>
        <w:t>Stellungnahme der DEGRO-Arbeitsgruppe Kopf-Hals-Tumoren zur Interpretation widersprüchlicher Phase-III-Evidenz zwischen Proton- und Photonen-Strahlentherapie beim Oropharynxkarzinom.</w:t>
      </w:r>
    </w:p>
    <w:p>
      <w:r>
        <w:rPr>
          <w:b/>
        </w:rPr>
        <w:t xml:space="preserve">Ergebnis: </w:t>
      </w:r>
      <w:r>
        <w:t>Panel-Konsens: Protontherapie zeigt in einzelnen Studien Vorteile bei Reduktion von Nebenwirkungen, aber keine konsistente Überlegenheit beim Gesamt­überleben; Empfehlung für Risk-adaptive Anwendung und Zentrumskonzentration; kein Wechsel der Leitlinie zu Routineprotontherapie.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Fachgesellschaft (DEGRO), deutschsprachiger Raum; direkte Auswirkung auf Zertifizierungskriterien und Versorgungsvergütung im deutschen System.</w:t>
      </w:r>
    </w:p>
    <w:p>
      <w:r>
        <w:rPr>
          <w:color w:val="5A7D3A"/>
          <w:sz w:val="18"/>
        </w:rPr>
        <w:t>https://pubmed.ncbi.nlm.nih.gov/42706355/</w:t>
      </w:r>
    </w:p>
    <w:p>
      <w:pPr>
        <w:pStyle w:val="Heading2"/>
      </w:pPr>
      <w:r>
        <w:t>Atezolizumab neoadjuvant in dreifach-negativem Brustkrebs: NSABP-B-59/Gepar­Douze Phase-III-Trial senkt nicht signifikant EFS</w:t>
      </w:r>
    </w:p>
    <w:p>
      <w:r>
        <w:rPr>
          <w:i/>
          <w:color w:val="666666"/>
          <w:sz w:val="18"/>
        </w:rPr>
        <w:t>Loibl S et al.  ·  Nat Med  ·  01.09.2026  ·  PMID 42680950</w:t>
      </w:r>
    </w:p>
    <w:p>
      <w:r>
        <w:t>Randomisiert 1.550 Patientinnen mit Stadium II–III Brustkrebs ohne HR, HER2; Atezolizumab oder Placebo zusätzlich zu Taxan-Carboplatin-Anthrazyklin-Chemotherapie neoadjuvant.</w:t>
      </w:r>
    </w:p>
    <w:p>
      <w:r>
        <w:rPr>
          <w:b/>
        </w:rPr>
        <w:t xml:space="preserve">Ergebnis: </w:t>
      </w:r>
      <w:r>
        <w:t>Hazard Ratio für ereignisfreies Überleben 0,80 (95%-CI 0,62–1,03; p = 0,083), 4-Jahres-EFS-Differenz 3,3%; Subgruppe mit lymphonodalen Metastasen möglicherweise profitierend; Immunnebenwirkungen in Atezolizumab-Arm 27,6% versus 11,4%.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USA (GBG/NSABP-Netzwerk), europäische Zentren führend; keine Änderung deutschen Leitlinien zu erwarten.</w:t>
      </w:r>
    </w:p>
    <w:p>
      <w:r>
        <w:rPr>
          <w:color w:val="5A7D3A"/>
          <w:sz w:val="18"/>
        </w:rPr>
        <w:t>https://pubmed.ncbi.nlm.nih.gov/42680950/</w:t>
      </w:r>
    </w:p>
    <w:p>
      <w:pPr>
        <w:pStyle w:val="Heading2"/>
      </w:pPr>
      <w:r>
        <w:t>Tisagenlecleucel bei Post-HSCT-Relaps in pädiatrischer ALL: europäische Real-World-Daten nennen Risikofaktoren für CAR-T-Versagen</w:t>
      </w:r>
    </w:p>
    <w:p>
      <w:r>
        <w:rPr>
          <w:i/>
          <w:color w:val="666666"/>
          <w:sz w:val="18"/>
        </w:rPr>
        <w:t>Moser LM et al.  ·  Leukemia  ·  31.08.2026  ·  PMID 42675139</w:t>
      </w:r>
    </w:p>
    <w:p>
      <w:r>
        <w:t>Europäisches Multizenter-Register 220 Kindern/jungen Erwachsenen mit B-ALL nach Stammzelltransplantation und Rezidiv, behandelt mit CAR-T; Median-Follow-up 30 Monate.</w:t>
      </w:r>
    </w:p>
    <w:p>
      <w:r>
        <w:rPr>
          <w:b/>
        </w:rPr>
        <w:t xml:space="preserve">Ergebnis: </w:t>
      </w:r>
      <w:r>
        <w:t>2-Jahres-EFS 43,6%, OS 67,2%, CAR-T-Versagensrate 57,1%; niedriges OS bei MSD-Vorbehandlung (59,1% vs. Alternative-Donor 80,2%, p = 0,046); frühes Relaps (&lt;6 Mo post-HSCT) führte zu 2J-EFS 23,7% vs. 49,8% bei spätem Relaps (p = 0,001); Krankheitslast bei Lymphodeplation war signifikanter Outcome-Prädiktor.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Zentren aus Deutschland, Österreich, Italien, Skandinavien; identifiziert hochrisiko-Kandidaten für verbesserte Nachbetreuung in deutschem System.</w:t>
      </w:r>
    </w:p>
    <w:p>
      <w:r>
        <w:rPr>
          <w:color w:val="5A7D3A"/>
          <w:sz w:val="18"/>
        </w:rPr>
        <w:t>https://pubmed.ncbi.nlm.nih.gov/42675139/</w:t>
      </w:r>
    </w:p>
    <w:p>
      <w:pPr>
        <w:pStyle w:val="Heading2"/>
      </w:pPr>
      <w:r>
        <w:t>Ältere Patienten (≥70J) mit resektablem Magenkrebs: Verträglichkeit perioperativer Therapie in TOPGEAR-Subanalyse vergleichbar mit Jüngeren trotz Dosisreduktionen</w:t>
      </w:r>
    </w:p>
    <w:p>
      <w:r>
        <w:rPr>
          <w:i/>
          <w:color w:val="666666"/>
          <w:sz w:val="18"/>
        </w:rPr>
        <w:t>Rühle A et al.  ·  Eur J Cancer  ·  05.10.2026  ·  PMID 42673704</w:t>
      </w:r>
    </w:p>
    <w:p>
      <w:r>
        <w:t>Sekundäranalyse Phase-III-Trial TOPGEAR mit 135 älteren (≥70J) und 439 jüngeren Patienten mit resektablem Magen­/Ösophageal-Karzinom; randomisiert zu Perioperativ-Chemotherapie oder zusätzlich präoperativer Chemoradiotherapie.</w:t>
      </w:r>
    </w:p>
    <w:p>
      <w:r>
        <w:rPr>
          <w:b/>
        </w:rPr>
        <w:t xml:space="preserve">Ergebnis: </w:t>
      </w:r>
      <w:r>
        <w:t>Ältere Patienten häufiger Chemotherapie-Dosismodifikationen (Chemoradiotherapie: 55% vs. 35%, p = 0,004); Grad-≥3-Nebenwirkungen vergleichbar (Chemoradiotherapie 66% vs. 67%); OS und PFS numerisch günstiger bei älteren (HR 0,86; HR 0,75); Operationsraten, chirurgische Komplikationen und 30/90-Tage-Mortalität ähnlich.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Australisches/internationales Zentren-Netzwerk, aber Dosierungsschemen und ECOG-Kriterien Standard in Deutschland; liefert Evidenz für Machbarkeit im älteren Setting.</w:t>
      </w:r>
    </w:p>
    <w:p>
      <w:r>
        <w:rPr>
          <w:color w:val="5A7D3A"/>
          <w:sz w:val="18"/>
        </w:rPr>
        <w:t>https://pubmed.ncbi.nlm.nih.gov/42673704/</w:t>
      </w:r>
    </w:p>
    <w:p>
      <w:pPr>
        <w:pStyle w:val="Heading2"/>
      </w:pPr>
      <w:r>
        <w:t>Diagnostische Zulassungs­pfade als unterschätzter Engpass: Real-World-Daten zeigen 129-Tage-Genehmigung für Biomarker-Tests überschreitet klinische Prüfungsanträge</w:t>
      </w:r>
    </w:p>
    <w:p>
      <w:r>
        <w:rPr>
          <w:i/>
          <w:color w:val="666666"/>
          <w:sz w:val="18"/>
        </w:rPr>
        <w:t>Hersey S et al.  ·  Eur J Cancer  ·  05.10.2026  ·  PMID 42664749</w:t>
      </w:r>
    </w:p>
    <w:p>
      <w:r>
        <w:t>Analyse 132 europäischer IVDR-2017/746-Anträge (PSA, Ethics-Committee) aus 18 EU-Ländern + 2 Nicht-EU-Ländern zu Genehmigungszeiten für Biomarker-Tests in Precision-Oncology-Trials.</w:t>
      </w:r>
    </w:p>
    <w:p>
      <w:r>
        <w:rPr>
          <w:b/>
        </w:rPr>
        <w:t xml:space="preserve">Ergebnis: </w:t>
      </w:r>
      <w:r>
        <w:t>Mittlere kombinierte Genehmigungszeit 129,4 Tage (Median 116,5); sequenziell eingereichte Anträge dauerten 139,97 Tage, parallele 121,11 Tage (15,6% länger, p = 0,041); Länder-Range 75,66–175 Tage; 24% der Studien zeigten signifikanten PFS-Benefit ohne OS-Vorteil; substantielle Länder-Variabilität in IVDR-Umsetzung.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Datensatz, 18 EU-Mitgliedstaaten; direktes Policy-Hindernis für deutsche Precision-Oncology-Trials.</w:t>
      </w:r>
    </w:p>
    <w:p>
      <w:r>
        <w:rPr>
          <w:color w:val="5A7D3A"/>
          <w:sz w:val="18"/>
        </w:rPr>
        <w:t>https://pubmed.ncbi.nlm.nih.gov/42664749/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LGsig-Klassifikation verbessert Therapievorhersage beim Diffusen großzelligen B-Zell-Lymphom</w:t>
      </w:r>
    </w:p>
    <w:p>
      <w:r>
        <w:rPr>
          <w:i/>
          <w:color w:val="666666"/>
          <w:sz w:val="18"/>
        </w:rPr>
        <w:t>Tumuluru S et al.  ·  J Clin Oncol  ·  09.09.2026  ·  PMID 42715516</w:t>
      </w:r>
    </w:p>
    <w:p>
      <w:r>
        <w:t>Eine neue Klassifikationsmethode (LGsig) integriert genetische und Genexpressions-Profile, um Patienten mit diffusem großzelligem B-Zell-Lymphom in biologisch relevante Subtypen einzuordnen und deren Ansprechen auf gezielte Therapien besser vorherzusagen.</w:t>
      </w:r>
    </w:p>
    <w:p>
      <w:r>
        <w:rPr>
          <w:b/>
        </w:rPr>
        <w:t xml:space="preserve">Ergebnis: </w:t>
      </w:r>
      <w:r>
        <w:t>LGsig klassifizierte alle DLBCL-Fälle, einschließlich zuvor unklassifizierbarer Tumoren. In der POLARIX-Studie zeigte sich ein signifikanter Überlebensvorteil für Patienten mit bestimmten LGsig-Subtypen unter Polatuzumab vedotin-R-CHP versus R-CHOP in sowohl genetisch klassifizierten als auch unklassifizierten Fällen.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Plattformübergreifend einsetzbare Genexpressions-Technik; Anwendbarkeit auf archivale Proben erleichtert klinische Integration in deutschen Tumorzentren.</w:t>
      </w:r>
    </w:p>
    <w:p>
      <w:r>
        <w:rPr>
          <w:color w:val="5A7D3A"/>
          <w:sz w:val="18"/>
        </w:rPr>
        <w:t>https://pubmed.ncbi.nlm.nih.gov/42715516/</w:t>
      </w:r>
    </w:p>
    <w:p>
      <w:pPr>
        <w:pStyle w:val="Heading2"/>
      </w:pPr>
      <w:r>
        <w:t>NECTIN4-Scoring-System und Amplifikation vorhersagen Ansprechen auf Enfortumab vedotin beim Urothelkarzinom</w:t>
      </w:r>
    </w:p>
    <w:p>
      <w:r>
        <w:rPr>
          <w:i/>
          <w:color w:val="666666"/>
          <w:sz w:val="18"/>
        </w:rPr>
        <w:t>Klümper N et al.  ·  Clin Cancer Res  ·  09.09.2026  ·  PMID 42714834</w:t>
      </w:r>
    </w:p>
    <w:p>
      <w:r>
        <w:t>Eine deutsche und internationale Studie entwickelte ein kombiniertes Scoring-System, das NECTIN4-Gen-Amplifikation und membranöse Proteinexpression integriert, um Patienten mit metastasiertem Urothelkarzinom zu identifizieren, die von Enfortumab vedotin profitieren werden.</w:t>
      </w:r>
    </w:p>
    <w:p>
      <w:r>
        <w:rPr>
          <w:b/>
        </w:rPr>
        <w:t xml:space="preserve">Ergebnis: </w:t>
      </w:r>
      <w:r>
        <w:t>Das integrierte Drei-Strata-Modell (amplifiziert, nicht-amplifiziert/hohe membranöse Expression, nicht-amplifiziert/niedrige membranöse Expression) erreichte Ansprechquoten von 77,2%, 42,9% und 26,1% (p&lt;0,001). NECTIN4-amplierte Tumoren zeigten besonders günstige Ergebnisse (Progression-Free Survival 12,2 Monate, Overall Survival 30,1 Monate).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Deutschlandweite Multizenterstudie mit 39 Zentren; direkt transferierbar auf Zertifizierungsanforderungen und Tumorboard-Entscheidungen.</w:t>
      </w:r>
    </w:p>
    <w:p>
      <w:r>
        <w:rPr>
          <w:color w:val="5A7D3A"/>
          <w:sz w:val="18"/>
        </w:rPr>
        <w:t>https://pubmed.ncbi.nlm.nih.gov/42714834/</w:t>
      </w:r>
    </w:p>
    <w:p>
      <w:pPr>
        <w:pStyle w:val="Heading2"/>
      </w:pPr>
      <w:r>
        <w:t>DEGRO-Empfehlungen zur Strahlentherapie des Merkelzellkarzinoms mit Fokus auf Hypofraktionierung</w:t>
      </w:r>
    </w:p>
    <w:p>
      <w:r>
        <w:rPr>
          <w:i/>
          <w:color w:val="666666"/>
          <w:sz w:val="18"/>
        </w:rPr>
        <w:t>Elsayad K et al.  ·  Strahlenther Onkol  ·  09.09.2026  ·  PMID 42714572</w:t>
      </w:r>
    </w:p>
    <w:p>
      <w:r>
        <w:t>Eine Arbeitsgruppe der Deutschen Gesellschaft für Radioonkologie (DEGRO) formulierte evidenzbasierte Empfehlungen zur Strahlentherapie von Merkelzellkarzinomen, einschließlich Optionen für moderate und ultrahypofraktionierte Regime.</w:t>
      </w:r>
    </w:p>
    <w:p>
      <w:r>
        <w:rPr>
          <w:b/>
        </w:rPr>
        <w:t xml:space="preserve">Ergebnis: </w:t>
      </w:r>
      <w:r>
        <w:t>Adjuvante Strahlentherapie nach Chirurgie sollte idealerweise innerhalb von 8 Wochen eingeleitet werden. Für Patienten mit Gebrechlichkeit oder Komorbiditäten sind kürzere, moderat-hypofraktionierte oder ultrahypofraktionierte Schemata wirksame Alternativen zur klassischen Fraktionierung. Die Kombination von Immuntherapie mit Strahlung wird als Schwerpunkt zukünftiger Forschung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Fachgesellschafts-Leitlinie; direkte Implementierbarkeit in Zertifizierungsprozesse und klinische Routine.</w:t>
      </w:r>
    </w:p>
    <w:p>
      <w:r>
        <w:rPr>
          <w:color w:val="5A7D3A"/>
          <w:sz w:val="18"/>
        </w:rPr>
        <w:t>https://pubmed.ncbi.nlm.nih.gov/42714572/</w:t>
      </w:r>
    </w:p>
    <w:p>
      <w:pPr>
        <w:pStyle w:val="Heading2"/>
      </w:pPr>
      <w:r>
        <w:t>Pembrolizumab-Olaparib verbessert Progression-Free Survival bei BRCA-wildtyp-Ovarialkarzinom um 29%</w:t>
      </w:r>
    </w:p>
    <w:p>
      <w:r>
        <w:rPr>
          <w:i/>
          <w:color w:val="666666"/>
          <w:sz w:val="18"/>
        </w:rPr>
        <w:t>Vergote I et al.  ·  Lancet Oncol  ·  07.09.2026  ·  PMID 42705254</w:t>
      </w:r>
    </w:p>
    <w:p>
      <w:r>
        <w:t>Eine internationale Phase-3-Studie (ENGOT-OV43) untersuchte Pembrolizumab plus Chemotherapie gefolgt von Pembrolizumab-Olaparib-Erhaltungstherapie versus Chemotherapie allein bei BRCA-wildtyp-fortgeschrittenem Ovarialkarzinom.</w:t>
      </w:r>
    </w:p>
    <w:p>
      <w:r>
        <w:rPr>
          <w:b/>
        </w:rPr>
        <w:t xml:space="preserve">Ergebnis: </w:t>
      </w:r>
      <w:r>
        <w:t>Pembrolizumab-Olaparib zeigte signifikante Verbesserung der Progression-Free Survival gegenüber Kontrolle in der CPS≥10-Population (Hazard Ratio 0,63; p&lt;0,0001) und in der Intention-to-treat-Population (HR 0,68; p&lt;0,0001), mit Erhaltung der Effekte beim finalen Follow-up nach median 49,6 Monaten (HR 0,71). Grade ≥3 Nebenwirkungen traten bei 66% der Pembrolizumab-Olaparib-Gruppe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globale Studie mit vergleichbarer Patientenselektion; Registerzulassung und AMNOG-Bewertung folgen regulärem Prozess in Deutschland.</w:t>
      </w:r>
    </w:p>
    <w:p>
      <w:r>
        <w:rPr>
          <w:color w:val="5A7D3A"/>
          <w:sz w:val="18"/>
        </w:rPr>
        <w:t>https://pubmed.ncbi.nlm.nih.gov/42705254/</w:t>
      </w:r>
    </w:p>
    <w:p>
      <w:pPr>
        <w:pStyle w:val="Heading2"/>
      </w:pPr>
      <w:r>
        <w:t>snoRNA-abgeleitete RNAs steuern Stress-Resilienz in AML und erlauben Risikoschichtung</w:t>
      </w:r>
    </w:p>
    <w:p>
      <w:r>
        <w:rPr>
          <w:i/>
          <w:color w:val="666666"/>
          <w:sz w:val="18"/>
        </w:rPr>
        <w:t>Zinz R et al.  ·  Leukemia  ·  04.09.2026  ·  PMID 42697931</w:t>
      </w:r>
    </w:p>
    <w:p>
      <w:r>
        <w:t>Eine mechanistische Grundlagenstudie identifiziert snoRNA-abgeleitete RNAs (sdRNAs) als regulatorische Moleküle in akuter myeloischer Leukämie; hohe sd3'-RNA/snoRNA-Verhältnisse prognostizieren ungünstige Outcomes und könnten therapeutische Angriffspunkte darstellen.</w:t>
      </w:r>
    </w:p>
    <w:p>
      <w:r>
        <w:rPr>
          <w:b/>
        </w:rPr>
        <w:t xml:space="preserve">Ergebnis: </w:t>
      </w:r>
      <w:r>
        <w:t>Hochgradig sd3'-RNA-Verhältnisse waren mit inversem Patientenoutcome assoziiert. Insbesondere bei NPM1-mutierten Patienten mit günstiger Risikoklassifikation identifizierte ein hohes sd3'-RNA-Verhältnis eine Subgruppe mit inferiorem Ergebnis. Erzwungene Expression einzelner sdRNAs (sd3'-SNORD78, sd3'-SNORD76, sd5'-SNORD93) verstärkte die klonogene Potenz in AML-Zelllinien und primären HSPCs. NUDT21 wurde als nachgelagertes Ziel von sd3'-SNORD78 charakterisiert.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Multizenterstudie (Heidelberg, Kiel, Dresden, Frankfurt); Mechanismus öffnet Wege zu klinischen Interventionen in der AML-Stratifikation.</w:t>
      </w:r>
    </w:p>
    <w:p>
      <w:r>
        <w:rPr>
          <w:color w:val="5A7D3A"/>
          <w:sz w:val="18"/>
        </w:rPr>
        <w:t>https://pubmed.ncbi.nlm.nih.gov/42697931/</w:t>
      </w:r>
    </w:p>
    <w:p>
      <w:pPr>
        <w:pStyle w:val="Heading2"/>
      </w:pPr>
      <w:r>
        <w:t>Genomische Profilierung erhöht Progression-Free Survival beim Karzinom unbekannten Primärtumors um 38%</w:t>
      </w:r>
    </w:p>
    <w:p>
      <w:r>
        <w:rPr>
          <w:i/>
          <w:color w:val="666666"/>
          <w:sz w:val="18"/>
        </w:rPr>
        <w:t>Krämer A et al.  ·  J Clin Oncol  ·  03.09.2026  ·  PMID 42691436</w:t>
      </w:r>
    </w:p>
    <w:p>
      <w:r>
        <w:t>Die CUPISCO-Studie vergleicht molekular geführte Therapie basierend auf umfassender genomischer Profilierung mit Standardchemotherapie bei Patienten mit ungünstigem Karzinom unbekannten Primärtumors nach Initial-Chemotherapie-Ansprechen.</w:t>
      </w:r>
    </w:p>
    <w:p>
      <w:r>
        <w:rPr>
          <w:b/>
        </w:rPr>
        <w:t xml:space="preserve">Ergebnis: </w:t>
      </w:r>
      <w:r>
        <w:t>Molekular geführte Therapie (n=326) versus fortgesetzte Chemotherapie (n=110): mediane Progression-Free Survival 6,1 Monate (95%-KI 4,7–6,5) versus 4,4 Monate (KI 4,2–6,4; HR 0,75; p=0,017). Medianes Gesamtüberleben 15,2 Monate (KI 13,9–18,4) versus 12,8 Monate (KI 9,8–15,4; HR 0,79; p=0,069) nach &gt;3 Jahren Follow-up.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Deutschlandweite Zentren beteiligt; Molekular-Tumorboard-Ansatz etabliert in deutschen Krebszentren.</w:t>
      </w:r>
    </w:p>
    <w:p>
      <w:r>
        <w:rPr>
          <w:color w:val="5A7D3A"/>
          <w:sz w:val="18"/>
        </w:rPr>
        <w:t>https://pubmed.ncbi.nlm.nih.gov/42691436/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Onkologie</dc:title>
  <dc:subject/>
  <dc:creator>Monitor Versorgungsforschung</dc:creator>
  <cp:keywords/>
  <dc:description>generated by python-docx</dc:description>
  <cp:lastModifiedBy/>
  <cp:revision>1</cp:revision>
  <dcterms:created xsi:type="dcterms:W3CDTF">2026-09-23T06:00:00Z</dcterms:created>
  <dcterms:modified xsi:type="dcterms:W3CDTF">2026-09-23T06:00:00Z</dcterms:modified>
  <cp:category/>
</cp:coreProperties>
</file>