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11.09.2026  |  6 Studien  |  onkologie.m-vf.de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Acht Mutationsmuster definieren Prostatakrebs-Subtypen mit unterschiedlichem Metastasierungs- und Therapierisiko</w:t>
      </w:r>
    </w:p>
    <w:p>
      <w:r>
        <w:rPr>
          <w:i/>
          <w:color w:val="666666"/>
          <w:sz w:val="18"/>
        </w:rPr>
        <w:t>Gruber AJ et al.  ·  Nature  ·  09.09.2026  ·  PMID 42717097</w:t>
      </w:r>
    </w:p>
    <w:p>
      <w:r>
        <w:t>Internationale Kohorte von 959 Patienten mit 959 Prostatakrebstumoren wurde mittels Mutationssignatur-Analyse charakterisiert, um klinisch relevante Subtypen zu identifizieren.</w:t>
      </w:r>
    </w:p>
    <w:p>
      <w:r>
        <w:rPr>
          <w:b/>
        </w:rPr>
        <w:t xml:space="preserve">Ergebnis: </w:t>
      </w:r>
      <w:r>
        <w:t>Acht integrierte Mutationsfuß­abdrücke (IMF) erklären 85% der Pri­märtumoren; vier IMF (in 37% vorhanden) assoziierten mit verkürzter Zeit bis Metastasierung; Biomarker sagten Ansprechen auf Androgen-Rezeptor-Inhibitoren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Zentren, deutsche DKFZ-Beteiligung; Grundlage für zukünftige Risikoschichtung im deutschen Versorgungssystem.</w:t>
      </w:r>
    </w:p>
    <w:p>
      <w:r>
        <w:rPr>
          <w:color w:val="5A7D3A"/>
          <w:sz w:val="18"/>
        </w:rPr>
        <w:t>https://pubmed.ncbi.nlm.nih.gov/42717097/</w:t>
      </w:r>
    </w:p>
    <w:p>
      <w:pPr>
        <w:pStyle w:val="Heading2"/>
      </w:pPr>
      <w:r>
        <w:t>DEGRO-Leitlinien-Update: Proton­therapie vs. Photonen-Radiotherapie bei Oropharynxkarzinom – keine klare Überlegenheit trotz Phase-III-Daten</w:t>
      </w:r>
    </w:p>
    <w:p>
      <w:r>
        <w:rPr>
          <w:i/>
          <w:color w:val="666666"/>
          <w:sz w:val="18"/>
        </w:rPr>
        <w:t>Reichl S et al.  ·  Strahlenther Onkol  ·  07.09.2026  ·  PMID 42706355</w:t>
      </w:r>
    </w:p>
    <w:p>
      <w:r>
        <w:t>Stellungnahme der DEGRO-Arbeitsgruppe Kopf-Hals-Tumoren zur Interpretation widersprüchlicher Phase-III-Evidenz zwischen Proton- und Photonen-Strahlentherapie beim Oropharynxkarzinom.</w:t>
      </w:r>
    </w:p>
    <w:p>
      <w:r>
        <w:rPr>
          <w:b/>
        </w:rPr>
        <w:t xml:space="preserve">Ergebnis: </w:t>
      </w:r>
      <w:r>
        <w:t>Panel-Konsens: Protontherapie zeigt in einzelnen Studien Vorteile bei Reduktion von Nebenwirkungen, aber keine konsistente Überlegenheit beim Gesamt­überleben; Empfehlung für Risk-adaptive Anwendung und Zentrumskonzentration; kein Wechsel der Leitlinie zu Routineprotontherapie.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 (DEGRO), deutschsprachiger Raum; direkte Auswirkung auf Zertifizierungskriterien und Versorgungsvergütung im deutschen System.</w:t>
      </w:r>
    </w:p>
    <w:p>
      <w:r>
        <w:rPr>
          <w:color w:val="5A7D3A"/>
          <w:sz w:val="18"/>
        </w:rPr>
        <w:t>https://pubmed.ncbi.nlm.nih.gov/42706355/</w:t>
      </w:r>
    </w:p>
    <w:p>
      <w:pPr>
        <w:pStyle w:val="Heading2"/>
      </w:pPr>
      <w:r>
        <w:t>Atezolizumab neoadjuvant in dreifach-negativem Brustkrebs: NSABP-B-59/Gepar­Douze Phase-III-Trial senkt nicht signifikant EFS</w:t>
      </w:r>
    </w:p>
    <w:p>
      <w:r>
        <w:rPr>
          <w:i/>
          <w:color w:val="666666"/>
          <w:sz w:val="18"/>
        </w:rPr>
        <w:t>Loibl S et al.  ·  Nat Med  ·  01.09.2026  ·  PMID 42680950</w:t>
      </w:r>
    </w:p>
    <w:p>
      <w:r>
        <w:t>Randomisiert 1.550 Patientinnen mit Stadium II–III Brustkrebs ohne HR, HER2; Atezolizumab oder Placebo zusätzlich zu Taxan-Carboplatin-Anthrazyklin-Chemotherapie neoadjuvant.</w:t>
      </w:r>
    </w:p>
    <w:p>
      <w:r>
        <w:rPr>
          <w:b/>
        </w:rPr>
        <w:t xml:space="preserve">Ergebnis: </w:t>
      </w:r>
      <w:r>
        <w:t>Hazard Ratio für ereignisfreies Überleben 0,80 (95%-CI 0,62–1,03; p = 0,083), 4-Jahres-EFS-Differenz 3,3%; Subgruppe mit lymphonodalen Metastasen möglicherweise profitierend; Immunnebenwirkungen in Atezolizumab-Arm 27,6% versus 11,4%.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USA (GBG/NSABP-Netzwerk), europäische Zentren führend; keine Änderung deutschen Leitlinien zu erwarten.</w:t>
      </w:r>
    </w:p>
    <w:p>
      <w:r>
        <w:rPr>
          <w:color w:val="5A7D3A"/>
          <w:sz w:val="18"/>
        </w:rPr>
        <w:t>https://pubmed.ncbi.nlm.nih.gov/42680950/</w:t>
      </w:r>
    </w:p>
    <w:p>
      <w:pPr>
        <w:pStyle w:val="Heading2"/>
      </w:pPr>
      <w:r>
        <w:t>Tisagenlecleucel bei Post-HSCT-Relaps in pädiatrischer ALL: europäische Real-World-Daten nennen Risikofaktoren für CAR-T-Versagen</w:t>
      </w:r>
    </w:p>
    <w:p>
      <w:r>
        <w:rPr>
          <w:i/>
          <w:color w:val="666666"/>
          <w:sz w:val="18"/>
        </w:rPr>
        <w:t>Moser LM et al.  ·  Leukemia  ·  31.08.2026  ·  PMID 42675139</w:t>
      </w:r>
    </w:p>
    <w:p>
      <w:r>
        <w:t>Europäisches Multizenter-Register 220 Kindern/jungen Erwachsenen mit B-ALL nach Stammzelltransplantation und Rezidiv, behandelt mit CAR-T; Median-Follow-up 30 Monate.</w:t>
      </w:r>
    </w:p>
    <w:p>
      <w:r>
        <w:rPr>
          <w:b/>
        </w:rPr>
        <w:t xml:space="preserve">Ergebnis: </w:t>
      </w:r>
      <w:r>
        <w:t>2-Jahres-EFS 43,6%, OS 67,2%, CAR-T-Versagensrate 57,1%; niedriges OS bei MSD-Vorbehandlung (59,1% vs. Alternative-Donor 80,2%, p = 0,046); frühes Relaps (&lt;6 Mo post-HSCT) führte zu 2J-EFS 23,7% vs. 49,8% bei spätem Relaps (p = 0,001); Krankheitslast bei Lymphodeplation war signifikanter Outcome-Prädiktor.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Zentren aus Deutschland, Österreich, Italien, Skandinavien; identifiziert hochrisiko-Kandidaten für verbesserte Nachbetreuung in deutschem System.</w:t>
      </w:r>
    </w:p>
    <w:p>
      <w:r>
        <w:rPr>
          <w:color w:val="5A7D3A"/>
          <w:sz w:val="18"/>
        </w:rPr>
        <w:t>https://pubmed.ncbi.nlm.nih.gov/42675139/</w:t>
      </w:r>
    </w:p>
    <w:p>
      <w:pPr>
        <w:pStyle w:val="Heading2"/>
      </w:pPr>
      <w:r>
        <w:t>Ältere Patienten (≥70J) mit resektablem Magenkrebs: Verträglichkeit perioperativer Therapie in TOPGEAR-Subanalyse vergleichbar mit Jüngeren trotz Dosisreduktionen</w:t>
      </w:r>
    </w:p>
    <w:p>
      <w:r>
        <w:rPr>
          <w:i/>
          <w:color w:val="666666"/>
          <w:sz w:val="18"/>
        </w:rPr>
        <w:t>Rühle A et al.  ·  Eur J Cancer  ·  05.10.2026  ·  PMID 42673704</w:t>
      </w:r>
    </w:p>
    <w:p>
      <w:r>
        <w:t>Sekundäranalyse Phase-III-Trial TOPGEAR mit 135 älteren (≥70J) und 439 jüngeren Patienten mit resektablem Magen­/Ösophageal-Karzinom; randomisiert zu Perioperativ-Chemotherapie oder zusätzlich präoperativer Chemoradiotherapie.</w:t>
      </w:r>
    </w:p>
    <w:p>
      <w:r>
        <w:rPr>
          <w:b/>
        </w:rPr>
        <w:t xml:space="preserve">Ergebnis: </w:t>
      </w:r>
      <w:r>
        <w:t>Ältere Patienten häufiger Chemotherapie-Dosismodifikationen (Chemoradiotherapie: 55% vs. 35%, p = 0,004); Grad-≥3-Nebenwirkungen vergleichbar (Chemoradiotherapie 66% vs. 67%); OS und PFS numerisch günstiger bei älteren (HR 0,86; HR 0,75); Operationsraten, chirurgische Komplikationen und 30/90-Tage-Mortalität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Australisches/internationales Zentren-Netzwerk, aber Dosierungsschemen und ECOG-Kriterien Standard in Deutschland; liefert Evidenz für Machbarkeit im älteren Setting.</w:t>
      </w:r>
    </w:p>
    <w:p>
      <w:r>
        <w:rPr>
          <w:color w:val="5A7D3A"/>
          <w:sz w:val="18"/>
        </w:rPr>
        <w:t>https://pubmed.ncbi.nlm.nih.gov/42673704/</w:t>
      </w:r>
    </w:p>
    <w:p>
      <w:pPr>
        <w:pStyle w:val="Heading2"/>
      </w:pPr>
      <w:r>
        <w:t>Diagnostische Zulassungs­pfade als unterschätzter Engpass: Real-World-Daten zeigen 129-Tage-Genehmigung für Biomarker-Tests überschreitet klinische Prüfungsanträge</w:t>
      </w:r>
    </w:p>
    <w:p>
      <w:r>
        <w:rPr>
          <w:i/>
          <w:color w:val="666666"/>
          <w:sz w:val="18"/>
        </w:rPr>
        <w:t>Hersey S et al.  ·  Eur J Cancer  ·  05.10.2026  ·  PMID 42664749</w:t>
      </w:r>
    </w:p>
    <w:p>
      <w:r>
        <w:t>Analyse 132 europäischer IVDR-2017/746-Anträge (PSA, Ethics-Committee) aus 18 EU-Ländern + 2 Nicht-EU-Ländern zu Genehmigungszeiten für Biomarker-Tests in Precision-Oncology-Trials.</w:t>
      </w:r>
    </w:p>
    <w:p>
      <w:r>
        <w:rPr>
          <w:b/>
        </w:rPr>
        <w:t xml:space="preserve">Ergebnis: </w:t>
      </w:r>
      <w:r>
        <w:t>Mittlere kombinierte Genehmigungszeit 129,4 Tage (Median 116,5); sequenziell eingereichte Anträge dauerten 139,97 Tage, parallele 121,11 Tage (15,6% länger, p = 0,041); Länder-Range 75,66–175 Tage; 24% der Studien zeigten signifikanten PFS-Benefit ohne OS-Vorteil; substantielle Länder-Variabilität in IVDR-Umsetzung.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Datensatz, 18 EU-Mitgliedstaaten; direktes Policy-Hindernis für deutsche Precision-Oncology-Trials.</w:t>
      </w:r>
    </w:p>
    <w:p>
      <w:r>
        <w:rPr>
          <w:color w:val="5A7D3A"/>
          <w:sz w:val="18"/>
        </w:rPr>
        <w:t>https://pubmed.ncbi.nlm.nih.gov/42664749/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2026-09-11T06:00:00Z</dcterms:created>
  <dcterms:modified xsi:type="dcterms:W3CDTF">2026-09-11T06:00:00Z</dcterms:modified>
  <cp:category/>
</cp:coreProperties>
</file>