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21.10.2026  |  7 Studien  |  pflege.m-vf.de</w:t>
      </w:r>
    </w:p>
    <w:p>
      <w:pPr>
        <w:pStyle w:val="Heading1"/>
      </w:pPr>
      <w:r>
        <w:t>Aufgenommen am 21.10.2026</w:t>
      </w:r>
    </w:p>
    <w:p>
      <w:pPr>
        <w:pStyle w:val="Heading2"/>
      </w:pPr>
      <w:r>
        <w:t>Nachschlag bei pflegenden Angehörigen nach Schlaganfall: Dokumentation und Lücken im stationären Kurzrehab</w:t>
      </w:r>
    </w:p>
    <w:p>
      <w:r>
        <w:rPr>
          <w:i/>
          <w:color w:val="666666"/>
          <w:sz w:val="18"/>
        </w:rPr>
        <w:t>McCarthy M et al.  ·  J Eval Clin Pract  ·  Okt. 2026  ·  PMID 42900752</w:t>
      </w:r>
    </w:p>
    <w:p>
      <w:r>
        <w:t>Retrospektive klinische Audit von 109 Schlaganfall-Aufnahmen auf einer subakuten neurogeriatrischen Station in Australien zur Dokumentation von Angehörigen-Edukation und -Training (CGET) durch multidisziplinäres Team.</w:t>
      </w:r>
    </w:p>
    <w:p>
      <w:r>
        <w:rPr>
          <w:b/>
        </w:rPr>
        <w:t xml:space="preserve">Ergebnis: </w:t>
      </w:r>
      <w:r>
        <w:t>1.398 dokumentierte CGET-Episoden identifiziert. Sozialarbeit (79,9 %) und Ergotherapie (77,1 %) dokumentierten konsistenter; Pflegepersonal nur minimal über alle Domänen hinweg, besonders Kontinenzmanagement unterrepräsentiert. CGET signifikant häufiger bei Kognitiven Einschränkungen dokumentiert, aber nur 10,7 % der 28 Patienten mit Gedächtnisstörungen erhielten Gedächtnistrainings-Dokumentation. Inkonsistente Praxis über Mobilitäts-, ADL- und kognitiven Domänen.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Australien, ähnliche Fachteam-Struktur; Befund der Dokumentationslücken bei Pflege universal relevant.</w:t>
      </w:r>
    </w:p>
    <w:p>
      <w:r>
        <w:rPr>
          <w:color w:val="5A7D3A"/>
          <w:sz w:val="18"/>
        </w:rPr>
        <w:t>https://pubmed.ncbi.nlm.nih.gov/42900752/</w:t>
      </w:r>
    </w:p>
    <w:p>
      <w:pPr>
        <w:pStyle w:val="Heading2"/>
      </w:pPr>
      <w:r>
        <w:t>Berufliche Autonomie und Austrittswunsch: Was Hebammen in Spanien zum Verlassen bewegt</w:t>
      </w:r>
    </w:p>
    <w:p>
      <w:r>
        <w:rPr>
          <w:i/>
          <w:color w:val="666666"/>
          <w:sz w:val="18"/>
        </w:rPr>
        <w:t>Zaida RP et al.  ·  J Nurs Manag  ·  2026  ·  PMID 42899503</w:t>
      </w:r>
    </w:p>
    <w:p>
      <w:r>
        <w:t>Qualitative Fokusgruppenarbeit (21 Hebammen, 4 Diskussionsgruppen, Oktober 2024) zu Ursachen von Burnout und Ausgebot unter spanischen Hebammen.</w:t>
      </w:r>
    </w:p>
    <w:p>
      <w:r>
        <w:rPr>
          <w:b/>
        </w:rPr>
        <w:t xml:space="preserve">Ergebnis: </w:t>
      </w:r>
      <w:r>
        <w:t>66,7 % Frauen, 61,9 % Krankenhausfachbereich. Hauptgründe: Autonomieverlust, Übermedikalisierung der Geburt, Konflikte mit Gynäkologen, traumatische perinatale Ereignisse, fehlende Managementbeteiligung, Arbeitsbedingungen. Lösungen: mehr Autonomie, Kompetenzanerkennung, unabhängige Studiengänge, Professionalisierung. Burnout führt zu Demotivation, Angst, Frustration und Ausscheiden.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Spanisches Versicherungssystem, andere Organisationskultur; Faktor Autonomie-Verlust international relevant.</w:t>
      </w:r>
    </w:p>
    <w:p>
      <w:r>
        <w:rPr>
          <w:color w:val="5A7D3A"/>
          <w:sz w:val="18"/>
        </w:rPr>
        <w:t>https://pubmed.ncbi.nlm.nih.gov/42899503/</w:t>
      </w:r>
    </w:p>
    <w:p>
      <w:pPr>
        <w:pStyle w:val="Heading2"/>
      </w:pPr>
      <w:r>
        <w:t>Pflegende im häuslichen Dienst: Wie Ressourcen den Stress unter Belastung puffern</w:t>
      </w:r>
    </w:p>
    <w:p>
      <w:r>
        <w:rPr>
          <w:i/>
          <w:color w:val="666666"/>
          <w:sz w:val="18"/>
        </w:rPr>
        <w:t>Xiong J et al.  ·  Nurs Open  ·  Okt. 2026  ·  PMID 42897743</w:t>
      </w:r>
    </w:p>
    <w:p>
      <w:r>
        <w:t>Querschnittsstudie mit 434 Hauskrankenpfleger (März–Juni 2024, 13 öffentliche Kliniken und Gemeindezentren, China) zu Jobbelastung, -ressourcen und Jobstress sowie Moderationseffekt von Ressourcen.</w:t>
      </w:r>
    </w:p>
    <w:p>
      <w:r>
        <w:rPr>
          <w:b/>
        </w:rPr>
        <w:t xml:space="preserve">Ergebnis: </w:t>
      </w:r>
      <w:r>
        <w:t>Durchschnittlicher Jobstress-Wert 1,73 ± 0,35 (relativ niedrig auf der Skala). Positive Korrelation: Jobbelastung–Stress; negative Korrelation: Ressourcen–Stress. Interaktion (Jobbelastung × Ressourcen) signifikant für Stress (B = −0,036, 95% CI [−0,058, −0,013], p = 0,002), erklärt zusätzlich 1,1 % Varianz. Stress signifikant höher bei häufigen Homevisits/Woche, physischen Bedrohungen, Alleineinsatz.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China; Prinzip der Ressourcen-Moderation universell, Home-Nursing-Struktur teilweise übertragbar.</w:t>
      </w:r>
    </w:p>
    <w:p>
      <w:r>
        <w:rPr>
          <w:color w:val="5A7D3A"/>
          <w:sz w:val="18"/>
        </w:rPr>
        <w:t>https://pubmed.ncbi.nlm.nih.gov/42897743/</w:t>
      </w:r>
    </w:p>
    <w:p>
      <w:pPr>
        <w:pStyle w:val="Heading2"/>
      </w:pPr>
      <w:r>
        <w:t>Wartelisten in der Langzeitpflege verschärfen Krankenhausaufenthalte: Simulation zur Bettenallokation</w:t>
      </w:r>
    </w:p>
    <w:p>
      <w:r>
        <w:rPr>
          <w:i/>
          <w:color w:val="666666"/>
          <w:sz w:val="18"/>
        </w:rPr>
        <w:t>Aydemir I et al.  ·  BMC Health Serv Res  ·  22.07.2026  ·  PMID 42897634</w:t>
      </w:r>
    </w:p>
    <w:p>
      <w:r>
        <w:t>Simulationsstudie zur Frage, wie dezentralisierte versus zentralisierte Bettenallokation in Pflegeheimen (Niederlande) Wartezeiten und die Inanspruchnahme von Kurzzeitpflege beeinflusst.</w:t>
      </w:r>
    </w:p>
    <w:p>
      <w:r>
        <w:rPr>
          <w:b/>
        </w:rPr>
        <w:t xml:space="preserve">Ergebnis: </w:t>
      </w:r>
      <w:r>
        <w:t>Eine zentralisierte Bettenallokationspolitik reduzierte die Wartezeiten von 336 auf 35 Tage und sank die Quote der Kurzzeitpflege-Aufnahmen von 45 % auf 4,5 %. Bei hoher Nachfragevarianz zwischen Einrichtungen waren die Reduktionen noch größer.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 mit Pflegeversicherungssystem und Bettenstruktur vergleichbar Deutschland.</w:t>
      </w:r>
    </w:p>
    <w:p>
      <w:r>
        <w:rPr>
          <w:color w:val="5A7D3A"/>
          <w:sz w:val="18"/>
        </w:rPr>
        <w:t>https://pubmed.ncbi.nlm.nih.gov/42897634/</w:t>
      </w:r>
    </w:p>
    <w:p>
      <w:pPr>
        <w:pStyle w:val="Heading2"/>
      </w:pPr>
      <w:r>
        <w:t>Was Palliativversorgung für Menschen mit fortgeschrittener COPD und Angehörige leistet</w:t>
      </w:r>
    </w:p>
    <w:p>
      <w:r>
        <w:rPr>
          <w:i/>
          <w:color w:val="666666"/>
          <w:sz w:val="18"/>
        </w:rPr>
        <w:t>Schmidt-Stiedenroth K et al.  ·  BMC Pulm Med  ·  19.10.2026  ·  PMID 42897575</w:t>
      </w:r>
    </w:p>
    <w:p>
      <w:r>
        <w:t>Qualitative Multigruppen-Studie (53 Interviews mit Patienten, pflegenden Angehörigen und Fachkräften) in Deutschland über unmet needs bei fortgeschrittener COPD und wie Palliativversorgung diese adressiert.</w:t>
      </w:r>
    </w:p>
    <w:p>
      <w:r>
        <w:rPr>
          <w:b/>
        </w:rPr>
        <w:t xml:space="preserve">Ergebnis: </w:t>
      </w:r>
      <w:r>
        <w:t>Zentrale Bedarfe: Dyspnoe- und Angstmanagement, Heimpflege, Notfallplanung, psychosoziale Unterstützung, organisatorische Hilfe, Information über Krankheitsverlauf und Palliativversorgung. Personen, die Palliativversorgung erhielten, berichteten Bedarf-Deckung in fünf Bereichen; Timing der Information war kritisch für Akzeptanz.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Studie in deutschen Versorgungsstrukturen.</w:t>
      </w:r>
    </w:p>
    <w:p>
      <w:r>
        <w:rPr>
          <w:color w:val="5A7D3A"/>
          <w:sz w:val="18"/>
        </w:rPr>
        <w:t>https://pubmed.ncbi.nlm.nih.gov/42897575/</w:t>
      </w:r>
    </w:p>
    <w:p>
      <w:pPr>
        <w:pStyle w:val="Heading2"/>
      </w:pPr>
      <w:r>
        <w:t>Motivation und Resilienz: Wie Pflegende in Grönland unter Ressourcenmangel arbeiten</w:t>
      </w:r>
    </w:p>
    <w:p>
      <w:r>
        <w:rPr>
          <w:i/>
          <w:color w:val="666666"/>
          <w:sz w:val="18"/>
        </w:rPr>
        <w:t>Jensen CJ et al.  ·  Int J Circumpolar Health  ·  31.12.2026  ·  PMID 42892307</w:t>
      </w:r>
    </w:p>
    <w:p>
      <w:r>
        <w:t>Ethnographische Feldforschung mit Beobachtung und Interviews in fünf Regionen Grönlands über Strategien, mit denen Pflegende trotz Personalknappheit und limitierten Ressourcen gute Versorgung leisten und motiviert bleiben.</w:t>
      </w:r>
    </w:p>
    <w:p>
      <w:r>
        <w:rPr>
          <w:b/>
        </w:rPr>
        <w:t xml:space="preserve">Ergebnis: </w:t>
      </w:r>
      <w:r>
        <w:t>Pflegende halten ihre Praxis durch patientenzentrierte Werte, Gemeinschaftsresilienz (Zusammenarbeit, Humor), improvisative Fähigkeiten und Verantwortung für Gesellschaft aufrecht. Gemeinsame Leidenschaft für Patienten war zentral; Beziehungen und kreatives Problemlösen kompensieren strukturelle Engpässe.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Arktisches Setting mit extremem Personalknappheit; Motivationsfaktoren übertragbar auf unterbelegte Systeme.</w:t>
      </w:r>
    </w:p>
    <w:p>
      <w:r>
        <w:rPr>
          <w:color w:val="5A7D3A"/>
          <w:sz w:val="18"/>
        </w:rPr>
        <w:t>https://pubmed.ncbi.nlm.nih.gov/42892307/</w:t>
      </w:r>
    </w:p>
    <w:p>
      <w:pPr>
        <w:pStyle w:val="Heading2"/>
      </w:pPr>
      <w:r>
        <w:t>Freiberufliche Kinderkrankenpflege in Frankreich: Prävention und Elternunterstützung zwischen Angebot und Finanzierungslücke</w:t>
      </w:r>
    </w:p>
    <w:p>
      <w:r>
        <w:rPr>
          <w:i/>
          <w:color w:val="666666"/>
          <w:sz w:val="18"/>
        </w:rPr>
        <w:t>Collombier M et al.  ·  Sante Publique  ·  2026  ·  PMID 42838889</w:t>
      </w:r>
    </w:p>
    <w:p>
      <w:r>
        <w:t>Nationale Beschreibungsstudie (2024, Online-Fragebogen) zu beruflicher Praxis, Rollen und Versorgungsbeitrag freiberuflich tätiger Kinderkrankenpfleger (Infirmières Puéricultrices) in Frankreich.</w:t>
      </w:r>
    </w:p>
    <w:p>
      <w:r>
        <w:rPr>
          <w:b/>
        </w:rPr>
        <w:t xml:space="preserve">Ergebnis: </w:t>
      </w:r>
      <w:r>
        <w:t>Überwiegend erfahrene Fachkräfte, fokus auf Prävention und Gesundheitserziehung bei Kindern 0–6 Jahre und Familien. Leistungen: Einzelkonsultationen, innovative Formate (Gruppenworkshops, ‚Elternkreise' für Erfahrungsaustausch und Empowerment). Psychosoziale Unterstützung und Elternbegleitung zentral, technische Pflege marginal. Hauptmotivation: Autonomie und Schließung von Versorgungslücken. Barriere: fehlende Krankenversicherungsfinanzierung.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mit anderen Versicherungs- und Berufsstrukturen; Modell der freien Praxis nicht deutsches Kernsystem.</w:t>
      </w:r>
    </w:p>
    <w:p>
      <w:r>
        <w:rPr>
          <w:color w:val="5A7D3A"/>
          <w:sz w:val="18"/>
        </w:rPr>
        <w:t>https://pubmed.ncbi.nlm.nih.gov/42838889/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2026-10-21T06:00:00Z</dcterms:created>
  <dcterms:modified xsi:type="dcterms:W3CDTF">2026-10-21T06:00:00Z</dcterms:modified>
  <cp:category/>
</cp:coreProperties>
</file>