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10.10.2026  |  5 Studien  |  pflege.m-vf.de</w:t>
      </w:r>
    </w:p>
    <w:p>
      <w:pPr>
        <w:pStyle w:val="Heading1"/>
      </w:pPr>
      <w:r>
        <w:t>Aufgenommen am 10.10.2026</w:t>
      </w:r>
    </w:p>
    <w:p>
      <w:pPr>
        <w:pStyle w:val="Heading2"/>
      </w:pPr>
      <w:r>
        <w:t>Selbstbestimmung und Hilfsuche in häuslicher Palliativpflege: Alltag alleinlebender Patienten mit unheilbarer Erkrankung</w:t>
      </w:r>
    </w:p>
    <w:p>
      <w:r>
        <w:rPr>
          <w:i/>
          <w:color w:val="666666"/>
          <w:sz w:val="18"/>
        </w:rPr>
        <w:t>Bashyam P et al.  ·  Ann Palliat Med  ·  Sept. 2026  ·  PMID 42854750</w:t>
      </w:r>
    </w:p>
    <w:p>
      <w:r>
        <w:t>Singapurer Phänomenologische Studie mit 12 Patienten in Heim-Hospizbetreuung, die allein ohne Betreuungsperson lebten, zu Alltag, Unabhängigkeit und Bedingungen für Hilfsuche.</w:t>
      </w:r>
    </w:p>
    <w:p>
      <w:r>
        <w:rPr>
          <w:b/>
        </w:rPr>
        <w:t xml:space="preserve">Ergebnis: </w:t>
      </w:r>
      <w:r>
        <w:t>Vier Themen: Unabhängigkeit als kognitives Selbstschutzkonzept gegen Abhängigkeit; Alltags-Routine als Schutzfilter für Interventionen; Vermeidung von Obligationen durch Vorzug bezahlter vs. sozialer Hilfe; bedingte Hilfsuche, aktiviert erst wenn physische Funktionsfähigkeit des Alltags zusammenbricht (nicht nach medizinischer Prognose).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Singapur – Pflege-Erkenntnisse zur Selbstbestimmungsachtung am Lebensende gelten kulturübergreifend</w:t>
      </w:r>
    </w:p>
    <w:p>
      <w:r>
        <w:rPr>
          <w:color w:val="5A7D3A"/>
          <w:sz w:val="18"/>
        </w:rPr>
        <w:t>https://pubmed.ncbi.nlm.nih.gov/42854750/</w:t>
      </w:r>
    </w:p>
    <w:p>
      <w:pPr>
        <w:pStyle w:val="Heading2"/>
      </w:pPr>
      <w:r>
        <w:t>Pflegefachkräfte in Familienkonferenzen der Intensivstation: Strukturbarrieren und Partizipationspotential</w:t>
      </w:r>
    </w:p>
    <w:p>
      <w:r>
        <w:rPr>
          <w:i/>
          <w:color w:val="666666"/>
          <w:sz w:val="18"/>
        </w:rPr>
        <w:t>Caillet A et al.  ·  Nurs Crit Care  ·  Nov. 2026  ·  PMID 42851029</w:t>
      </w:r>
    </w:p>
    <w:p>
      <w:r>
        <w:t>Französische Qualitätsstudie mit 14 Pflegefachkräften und 5 Ärzten zu Faktoren, die Beteiligung von Pflegefachkräften in Intensivstations-Familienkonferenzen prägen.</w:t>
      </w:r>
    </w:p>
    <w:p>
      <w:r>
        <w:rPr>
          <w:b/>
        </w:rPr>
        <w:t xml:space="preserve">Ergebnis: </w:t>
      </w:r>
      <w:r>
        <w:t>Organisatorische und interprofessionelle Bedingungen, nicht Kompetenz oder Motivation, limitieren aktive Partizipation: mangelnde Redezeit, Ausschluss aus ethischen Beratungen, Angst vor Widerspruch zu Ärzten. Bei aktiver Beteiligung: bessere Teamkohärenz, reichere Kommunikation, gestärktes Vertrauen der Familien.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– interprofessionelle Modelle und Strukturbarrieren haben Universalwert für deutschsprachige Intensivstationen</w:t>
      </w:r>
    </w:p>
    <w:p>
      <w:r>
        <w:rPr>
          <w:color w:val="5A7D3A"/>
          <w:sz w:val="18"/>
        </w:rPr>
        <w:t>https://pubmed.ncbi.nlm.nih.gov/42851029/</w:t>
      </w:r>
    </w:p>
    <w:p>
      <w:pPr>
        <w:pStyle w:val="Heading2"/>
      </w:pPr>
      <w:r>
        <w:t>Ernährungsscreening und Energieversorgung bei klinischer Dietitiker-Federführung statt Pflegefachkraft-Führung</w:t>
      </w:r>
    </w:p>
    <w:p>
      <w:r>
        <w:rPr>
          <w:i/>
          <w:color w:val="666666"/>
          <w:sz w:val="18"/>
        </w:rPr>
        <w:t>Kristensen MB et al.  ·  J Hum Nutr Diet  ·  Okt. 2026  ·  PMID 42850792</w:t>
      </w:r>
    </w:p>
    <w:p>
      <w:r>
        <w:t>Dänische Multimethod-Studie zu Effekten einer Umverteilung von Ernährungsaufgaben von Pflegefachkräften auf klinische Diätologen in einer pulmonalen Station.</w:t>
      </w:r>
    </w:p>
    <w:p>
      <w:r>
        <w:rPr>
          <w:b/>
        </w:rPr>
        <w:t xml:space="preserve">Ergebnis: </w:t>
      </w:r>
      <w:r>
        <w:t>Bei Dietitiker-geführter Versorgung: 55% der Patienten innerhalb 24h gescreent (vs. 29% bei Pflegefachkraft-Führung), 76% insgesamt (vs. 43%); 79% der Interventionsgruppe erreichten ≥75% des Energiebedarfs gegenüber 57% der Kontrolle (p=0,023). Beide Berufsgruppen berichten verbesserte Zusammenarbeit, Pflegefachkräfte jedoch reduzierte Ernährungsaufmerksamkeit.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 – strukturelle Aufgabenteilung zwischen Pflege und Diätetik mit Versorgungsmesswerten auf deutsches Setting übertragbar</w:t>
      </w:r>
    </w:p>
    <w:p>
      <w:r>
        <w:rPr>
          <w:color w:val="5A7D3A"/>
          <w:sz w:val="18"/>
        </w:rPr>
        <w:t>https://pubmed.ncbi.nlm.nih.gov/42850792/</w:t>
      </w:r>
    </w:p>
    <w:p>
      <w:pPr>
        <w:pStyle w:val="Heading2"/>
      </w:pPr>
      <w:r>
        <w:t>Spezialisierte Pflegefachkräfte in der Krebsdiagnostik: Versorgungsqualität, Patientenzufriedenheit und Kosteneffizienz</w:t>
      </w:r>
    </w:p>
    <w:p>
      <w:r>
        <w:rPr>
          <w:i/>
          <w:color w:val="666666"/>
          <w:sz w:val="18"/>
        </w:rPr>
        <w:t>Teodorowski P et al.  ·  Br J Nurs  ·  08.10.2026  ·  PMID 42848699</w:t>
      </w:r>
    </w:p>
    <w:p>
      <w:r>
        <w:t>Evaluation einer von Pflegefachkräften geleiteten Sprechstunde für Männer mit Verdacht auf Prostatakrebs in Großbritannien hinsichtlich Zufriedenheit, Behandlungsdauer und Kosten.</w:t>
      </w:r>
    </w:p>
    <w:p>
      <w:r>
        <w:rPr>
          <w:b/>
        </w:rPr>
        <w:t xml:space="preserve">Ergebnis: </w:t>
      </w:r>
      <w:r>
        <w:t>Die spezialisierte Pflegeklinik erzielte hohe Patientenzufriedenheit, kontinuierliche Versorgung und niedrigere Kosten pro Patient (£1049 vs. £1417) im Vergleich zur ärztlich geleiteten Klinik. Bessere Zusammenarbeit zwischen Pflegefachkraft und Arzt verbesserte die Versorgungsintegration.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– vergleichbar mit deutschen ambulanten Spezialangeboten in der Onkologie</w:t>
      </w:r>
    </w:p>
    <w:p>
      <w:r>
        <w:rPr>
          <w:color w:val="5A7D3A"/>
          <w:sz w:val="18"/>
        </w:rPr>
        <w:t>https://pubmed.ncbi.nlm.nih.gov/42848699/</w:t>
      </w:r>
    </w:p>
    <w:p>
      <w:pPr>
        <w:pStyle w:val="Heading2"/>
      </w:pPr>
      <w:r>
        <w:t>Ernährung in britischen Pflegeheimen: Mangel an pflanzlichen und proteinhaltigen Alternativen</w:t>
      </w:r>
    </w:p>
    <w:p>
      <w:r>
        <w:rPr>
          <w:i/>
          <w:color w:val="666666"/>
          <w:sz w:val="18"/>
        </w:rPr>
        <w:t>Whyton S et al.  ·  J Hum Nutr Diet  ·  Okt. 2026  ·  PMID 42847812</w:t>
      </w:r>
    </w:p>
    <w:p>
      <w:r>
        <w:t>Analyse von Wochenmenüs aus 136 britischen Pflegeheimen für ältere Menschen nach Angebot an pflanzlichen, vegetarischen und fleischlosen Mahlzeiten.</w:t>
      </w:r>
    </w:p>
    <w:p>
      <w:r>
        <w:rPr>
          <w:b/>
        </w:rPr>
        <w:t xml:space="preserve">Ergebnis: </w:t>
      </w:r>
      <w:r>
        <w:t>Durchschnittlicher Score 28 von 80 Punkten; alle Menüs mit Rot- und Verarbeitungsfleisch mindestens wöchentlich, nur 2 Menüs ohne verarbeitetes Fleisch. Pflanzliche Proteine wie Linsen und Bohnen unterrepräsentiert trotz Gesundheitsempfehlungen.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– aber prinzipielle Bedeutung für Speiseplangestaltung auch in deutschen Heimen</w:t>
      </w:r>
    </w:p>
    <w:p>
      <w:r>
        <w:rPr>
          <w:color w:val="5A7D3A"/>
          <w:sz w:val="18"/>
        </w:rPr>
        <w:t>https://pubmed.ncbi.nlm.nih.gov/42847812/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2026-10-10T06:00:00Z</dcterms:created>
  <dcterms:modified xsi:type="dcterms:W3CDTF">2026-10-10T06:00:00Z</dcterms:modified>
  <cp:category/>
</cp:coreProperties>
</file>