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23.08.2026  |  4 Studien  |  pflege.m-vf.de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Organisationale Führung und psychische Belastung der Pflegenden: Sichere Erkenntnisse zu Arbeitsbelastung und Unterstützung aus qualitativen Interviews mit europäischen Pflegekräften in der Suchtbehandlung</w:t>
      </w:r>
    </w:p>
    <w:p>
      <w:r>
        <w:rPr>
          <w:i/>
          <w:color w:val="666666"/>
          <w:sz w:val="18"/>
        </w:rPr>
        <w:t>Annunziata KN et al.  ·  J Nurs Manag  ·  2026  ·  PMID 42630083</w:t>
      </w:r>
    </w:p>
    <w:p>
      <w:r>
        <w:t>Interviews mit 15 europäischen Pflegekräften in der Suchtbehandlung untersuchten, wie Arbeitsbelastung durch Sekundärtraumatisierung entsteht und welche Führungsinterventionen sie abmildern.</w:t>
      </w:r>
    </w:p>
    <w:p>
      <w:r>
        <w:rPr>
          <w:b/>
        </w:rPr>
        <w:t xml:space="preserve">Ergebnis: </w:t>
      </w:r>
      <w:r>
        <w:t>Organisationale Führung fungierte als Risiko- oder Schutzfaktor: unterstützende, strukturierte Maßnahmen wie Awareness, Schulung und emotionale Unterstützung reduzierten die Auswirkungen. Schlecht ausgestaltete Führung verschärfte die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Qualitativ, Schnittstellenposition zwischen Burnout und Organisationsinterventionen</w:t>
      </w:r>
    </w:p>
    <w:p>
      <w:r>
        <w:rPr>
          <w:color w:val="5A7D3A"/>
          <w:sz w:val="18"/>
        </w:rPr>
        <w:t>https://pubmed.ncbi.nlm.nih.gov/42630083/</w:t>
      </w:r>
    </w:p>
    <w:p>
      <w:pPr>
        <w:pStyle w:val="Heading2"/>
      </w:pPr>
      <w:r>
        <w:t>Zuwanderung von Pflegekräften nach dem Brexit: Auswirkungen auf Fachkräftemangel und Krankenhausvakanzen im britischen Gesundheitsdienst</w:t>
      </w:r>
    </w:p>
    <w:p>
      <w:r>
        <w:rPr>
          <w:i/>
          <w:color w:val="666666"/>
          <w:sz w:val="18"/>
        </w:rPr>
        <w:t>Ramesh T et al.  ·  JAMA Health Forum  ·  07.08.2026  ·  PMID 42627655</w:t>
      </w:r>
    </w:p>
    <w:p>
      <w:r>
        <w:t>Querschnittstudie mit Unterbrechungsreihenanalyse: Brexit-Referendum 2016 und Einwanderung von Ärztinnen und Pflegekräften in UK (OECD-Daten 2008–2019) sowie monatliche NHS-Vakanzen April 2015–Dezember 2019.</w:t>
      </w:r>
    </w:p>
    <w:p>
      <w:r>
        <w:rPr>
          <w:b/>
        </w:rPr>
        <w:t xml:space="preserve">Ergebnis: </w:t>
      </w:r>
      <w:r>
        <w:t>Brexit-bedingt: 825 EU-Ärzte und 2.771 EU-Pflegekräfte weniger im ersten Jahr. Nicht-EU-Zuwanderung stieg später (+1.437 Pflegekräfte/Jahr 2017–2019), kompensierte aber nicht vollständig. Ärztliche Vakanzen stiegen um 383 Stellen (95%-KI 88–679), Pflegevakanzen blieben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UK-Migrationspolitik übertragbar auf Versorgungssystemplanung, aber nicht auf Lizensierungsstrukturen</w:t>
      </w:r>
    </w:p>
    <w:p>
      <w:r>
        <w:rPr>
          <w:color w:val="5A7D3A"/>
          <w:sz w:val="18"/>
        </w:rPr>
        <w:t>https://pubmed.ncbi.nlm.nih.gov/42627655/</w:t>
      </w:r>
    </w:p>
    <w:p>
      <w:pPr>
        <w:pStyle w:val="Heading2"/>
      </w:pPr>
      <w:r>
        <w:t>Belastung informeller Pflegender von Krebspatienten: Was Emotionen und Aufopferung damit zu tun haben</w:t>
      </w:r>
    </w:p>
    <w:p>
      <w:r>
        <w:rPr>
          <w:i/>
          <w:color w:val="666666"/>
          <w:sz w:val="18"/>
        </w:rPr>
        <w:t>Ham L et al.  ·  Support Care Cancer  ·  21.08.2026  ·  PMID 42627385</w:t>
      </w:r>
    </w:p>
    <w:p>
      <w:r>
        <w:t>Querschnittserhebung mit 3.171 Angehörigen von Krebspatienten in den Niederlanden (Online-Survey) mit logistischen Regressionsanalysen zu erlebter Belastung und deren Zusammenhängen.</w:t>
      </w:r>
    </w:p>
    <w:p>
      <w:r>
        <w:rPr>
          <w:b/>
        </w:rPr>
        <w:t xml:space="preserve">Ergebnis: </w:t>
      </w:r>
      <w:r>
        <w:t>93% gaben an, dass es sich gut anfühlt, für den Angehörigen da zu sein; 83% hatten Angst vor Trauerverlust. Jede fünfte Person (20%) berichtete erhebliche Belastung durch Pflege. Höhere Belastung trat auf, wenn Angehörige das Leben vollständig dem Patienten anpassten und sich stärker gaben als empfunden.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Sozialversicherung und Versorgungskultur</w:t>
      </w:r>
    </w:p>
    <w:p>
      <w:r>
        <w:rPr>
          <w:color w:val="5A7D3A"/>
          <w:sz w:val="18"/>
        </w:rPr>
        <w:t>https://pubmed.ncbi.nlm.nih.gov/42627385/</w:t>
      </w:r>
    </w:p>
    <w:p>
      <w:pPr>
        <w:pStyle w:val="Heading2"/>
      </w:pPr>
      <w:r>
        <w:t>Nadelstichverletzungen unter Pflegekräften und medizinischem Personal: Fünf-Jahres-Analyse aus kroatischen Universitätskliniken</w:t>
      </w:r>
    </w:p>
    <w:p>
      <w:r>
        <w:rPr>
          <w:i/>
          <w:color w:val="666666"/>
          <w:sz w:val="18"/>
        </w:rPr>
        <w:t>Čučević Đ et al.  ·  East Mediterr Health J  ·  02.08.2026  ·  PMID 42626802</w:t>
      </w:r>
    </w:p>
    <w:p>
      <w:r>
        <w:t>Retrosprektive Analyse gemeldeter Nadelstich- und Schnittschutzunfälle 2018–2022 an zwei Universitätskliniken in Kroatien; Vergleich Pre-Pandemie (2018–2019) vs. Pandemie (2020–2022).</w:t>
      </w:r>
    </w:p>
    <w:p>
      <w:r>
        <w:rPr>
          <w:b/>
        </w:rPr>
        <w:t xml:space="preserve">Ergebnis: </w:t>
      </w:r>
      <w:r>
        <w:t>3.554 Nadelstichverletzungen über fünf Jahre; Nadeln verursachten 68,6% (2.373 Fälle). Pflegekräfte und medizinisch-technische Angestellte waren mit 51,4% am stärksten betroffen (95%-KI 49,7–53,0). Verletzungen nahmen während Pandemie zu: 1.930 vs. 1.624 vor Pandemie.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ähnliche Infektionsschutzstandards, aber höhere Belastung durch Pandemie</w:t>
      </w:r>
    </w:p>
    <w:p>
      <w:r>
        <w:rPr>
          <w:color w:val="5A7D3A"/>
          <w:sz w:val="18"/>
        </w:rPr>
        <w:t>https://pubmed.ncbi.nlm.nih.gov/42626802/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