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30.10.2026  |  6 Studien  |  pflege.m-vf.de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Despotische Führung und Wohlbefinden von Pflegekräften im Krankenhaus: ein Zusammenhang</w:t>
      </w:r>
    </w:p>
    <w:p>
      <w:r>
        <w:rPr>
          <w:i/>
          <w:color w:val="666666"/>
          <w:sz w:val="18"/>
        </w:rPr>
        <w:t>Allam SME et al.  ·  J Nurs Manag  ·  2026  ·  PMID 42954815</w:t>
      </w:r>
    </w:p>
    <w:p>
      <w:r>
        <w:t>Querschnittstudie mit 181 Pflegekräften in saudi-arabischer Universitätsklinik zur Assoziation zwischen wahrgenommener despotischer Führung und beruflichem Wohlbefinden (thriving at work).</w:t>
      </w:r>
    </w:p>
    <w:p>
      <w:r>
        <w:rPr>
          <w:b/>
        </w:rPr>
        <w:t xml:space="preserve">Ergebnis: </w:t>
      </w:r>
      <w:r>
        <w:t>Pflegekräfte berichteten moderate despotische Führung (Mittelwert 3,19 ± 1,21) und Wohlbefinden (3,29 ± 1,05). Despotische Führung korrelierte negativ mit Wohlbefinden (r = -0,323, p &lt; 0,001). Im adjustierten Modell blieb despotische Führung signifikant mit geringerem Wohlbefinden assoziiert (β = -0,371,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 – klinisches Führungsverhalten wirkt auf Verbleib; Ethik-Fokus universal</w:t>
      </w:r>
    </w:p>
    <w:p>
      <w:r>
        <w:rPr>
          <w:color w:val="5A7D3A"/>
          <w:sz w:val="18"/>
        </w:rPr>
        <w:t>https://pubmed.ncbi.nlm.nih.gov/42954815/</w:t>
      </w:r>
    </w:p>
    <w:p>
      <w:pPr>
        <w:pStyle w:val="Heading2"/>
      </w:pPr>
      <w:r>
        <w:t>Progressive Muskelentspannung und Naturgeräusche gegen Alarm-Erschöpfung von Intensivpflegekräften</w:t>
      </w:r>
    </w:p>
    <w:p>
      <w:r>
        <w:rPr>
          <w:i/>
          <w:color w:val="666666"/>
          <w:sz w:val="18"/>
        </w:rPr>
        <w:t>Dehghani MR et al.  ·  Nurs Crit Care  ·  Nov. 2026  ·  PMID 42954350</w:t>
      </w:r>
    </w:p>
    <w:p>
      <w:r>
        <w:t>Randomisierte klinische Studie mit 96 Intensivpflegekräften aus drei iranischen Kliniken zu Wirksamkeit von progressiver Muskelentspannung (PMR) und Naturgeräuschen zur Reduktion von Alarm-Fatigue.</w:t>
      </w:r>
    </w:p>
    <w:p>
      <w:r>
        <w:rPr>
          <w:b/>
        </w:rPr>
        <w:t xml:space="preserve">Ergebnis: </w:t>
      </w:r>
      <w:r>
        <w:t>Beide Interventionen reduzierten Alarm-Fatigue signifikant (p &lt; 0,001 für PMR vs. Kontrolle; p &lt; 0,001 für Naturgeräusche vs. Kontrolle). Kein signifikanter Unterschied zwischen PMR und Naturgeräuschen (p = 0,650). Die Maßnahmen verbesserten Pflegekräften die Stressverarbeitung und damit die Patientensicherheit.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– niedrigschwellige, praktisch implementierbare Interventionen; Wirkprinzipien stressreduktiv</w:t>
      </w:r>
    </w:p>
    <w:p>
      <w:r>
        <w:rPr>
          <w:color w:val="5A7D3A"/>
          <w:sz w:val="18"/>
        </w:rPr>
        <w:t>https://pubmed.ncbi.nlm.nih.gov/42954350/</w:t>
      </w:r>
    </w:p>
    <w:p>
      <w:pPr>
        <w:pStyle w:val="Heading2"/>
      </w:pPr>
      <w:r>
        <w:t>Adhärenz in der ambulanten Lungenfunktionsrehabilitierung: was Fachkräfte als Barrieren und Enabler erleben</w:t>
      </w:r>
    </w:p>
    <w:p>
      <w:r>
        <w:rPr>
          <w:i/>
          <w:color w:val="666666"/>
          <w:sz w:val="18"/>
        </w:rPr>
        <w:t>Zhou H et al.  ·  Int J Chron Obstruct Pulmon Dis  ·  24.10.2026  ·  PMID 42953745</w:t>
      </w:r>
    </w:p>
    <w:p>
      <w:r>
        <w:t>Qualitative Studie mit 18 Fachkräften (Ärzte, Pflegekräfte, Therapeuten) zu Barrieren und Förderungsfaktoren bei der Adhärenzunterstützung in der häuslichen COPD-Rehabilitation in China.</w:t>
      </w:r>
    </w:p>
    <w:p>
      <w:r>
        <w:rPr>
          <w:b/>
        </w:rPr>
        <w:t xml:space="preserve">Ergebnis: </w:t>
      </w:r>
      <w:r>
        <w:t>Drei Themen identifiziert: inkonsistente aktuelle Praxis mit variablen Assessments und begrenztem Follow-up; Barrieren (unzureichende Zeit, schwache Multidisziplinarität, begrenzte Telerehabilitation, Sicherheitsbedenken); Enabler (Fachwissen, Vertrauensbeziehungen, professionelles Engagement, leistungsabhängige Anreize, sektorübergreifende Zusammenarbeit). Die Studie zeigt, dass konsistente Implementierung und strukturierte Multidisziplinarität zentral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qualitative Professionalenperspektiven; Strukturprobleme sind länderübergreifend ähnlich</w:t>
      </w:r>
    </w:p>
    <w:p>
      <w:r>
        <w:rPr>
          <w:color w:val="5A7D3A"/>
          <w:sz w:val="18"/>
        </w:rPr>
        <w:t>https://pubmed.ncbi.nlm.nih.gov/42953745/</w:t>
      </w:r>
    </w:p>
    <w:p>
      <w:pPr>
        <w:pStyle w:val="Heading2"/>
      </w:pPr>
      <w:r>
        <w:t>Bewegungs-Snacks gegen Sarkopenie in Pflegeheimen: Protokoll einer Interventionsstudie</w:t>
      </w:r>
    </w:p>
    <w:p>
      <w:r>
        <w:rPr>
          <w:i/>
          <w:color w:val="666666"/>
          <w:sz w:val="18"/>
        </w:rPr>
        <w:t>Wang J et al.  ·  Front Public Health  ·  14.10.2026  ·  PMID 42952831</w:t>
      </w:r>
    </w:p>
    <w:p>
      <w:r>
        <w:t>Studienprotokoll für randomisierte Kontrollstudie mit älteren Heimbewohnern mit vermuteter Sarkopenie in China; geplant sind 12-Wochen Intervalle aus Krafttraining und Wuqinxi nach Fogg Behaviour Model.</w:t>
      </w:r>
    </w:p>
    <w:p>
      <w:r>
        <w:rPr>
          <w:b/>
        </w:rPr>
        <w:t xml:space="preserve">Ergebnis: </w:t>
      </w:r>
      <w:r>
        <w:t>Primäres Outcome: physische Funktion (Short Physical Performance Battery). Sekundäre Outcomes: Muskelkraft, Balance, kognitive Funktion, Adhärenz, Nebenwirkungen. Datenanalyse mit mixed-effects-Modellen. Rekrutierung und Datenerhoebung laufen. ChiCTR-Registrierung: ChiCTR2600126344.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Versorgungsmodell Pflegeheim vergleichbar; Adhärenz-Herausforderung universell</w:t>
      </w:r>
    </w:p>
    <w:p>
      <w:r>
        <w:rPr>
          <w:color w:val="5A7D3A"/>
          <w:sz w:val="18"/>
        </w:rPr>
        <w:t>https://pubmed.ncbi.nlm.nih.gov/42952831/</w:t>
      </w:r>
    </w:p>
    <w:p>
      <w:pPr>
        <w:pStyle w:val="Heading2"/>
      </w:pPr>
      <w:r>
        <w:t>Belastung von Schichtpflegekräften mit Kleinkindern: vier Stressprofile identifiziert</w:t>
      </w:r>
    </w:p>
    <w:p>
      <w:r>
        <w:rPr>
          <w:i/>
          <w:color w:val="666666"/>
          <w:sz w:val="18"/>
        </w:rPr>
        <w:t>Yao Q et al.  ·  Front Public Health  ·  14.10.2026  ·  PMID 42952711</w:t>
      </w:r>
    </w:p>
    <w:p>
      <w:r>
        <w:t>Querschnittsstudie mit 1.108 weiblichen Pflegekräften in zwei chinesischen Kliniken zur Charakterisierung von Eltern-Stress mittels latenter Profilanalyse und Identifikation assoziierter Faktoren.</w:t>
      </w:r>
    </w:p>
    <w:p>
      <w:r>
        <w:rPr>
          <w:b/>
        </w:rPr>
        <w:t xml:space="preserve">Ergebnis: </w:t>
      </w:r>
      <w:r>
        <w:t>Vier Stressprofile: niedrig (10,11 %), moderat (26,81 %), hoch (52,26 %), schichtarbeitsdominiert (10,83 %). Signifikante Assoziationen mit: Nachtschichten pro Monat (6-10, 11-15, 16+), Familienklima (durchschnittlich/schlecht), Kindergesundheit (unhealthy), Kinderzahl (≥2-3), Betreuungshilfe (gelegentlich/nie), Stationsklima (durchschnittlich/schlecht). Mehr als die Hälfte der Pflegekräfte erleben hohen Stress.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Pflegekraftbelastung durch Schicht und Familie empirisch quantifiziert; Bedarfe für Support evident</w:t>
      </w:r>
    </w:p>
    <w:p>
      <w:r>
        <w:rPr>
          <w:color w:val="5A7D3A"/>
          <w:sz w:val="18"/>
        </w:rPr>
        <w:t>https://pubmed.ncbi.nlm.nih.gov/42952711/</w:t>
      </w:r>
    </w:p>
    <w:p>
      <w:pPr>
        <w:pStyle w:val="Heading2"/>
      </w:pPr>
      <w:r>
        <w:t>Kündigungsabsicht von Pflegekräften messen: italienische Validierung der Anticipated Turnover Scale</w:t>
      </w:r>
    </w:p>
    <w:p>
      <w:r>
        <w:rPr>
          <w:i/>
          <w:color w:val="666666"/>
          <w:sz w:val="18"/>
        </w:rPr>
        <w:t>Cignola S et al.  ·  Nurs Open  ·  Okt. 2026  ·  PMID 42817794</w:t>
      </w:r>
    </w:p>
    <w:p>
      <w:r>
        <w:t>Psychometrische Validierungsstudie der italienischen Fassung der Anticipated Turnover Scale an 168 Pflegekräften einer italienischen Universitätsklinik.</w:t>
      </w:r>
    </w:p>
    <w:p>
      <w:r>
        <w:rPr>
          <w:b/>
        </w:rPr>
        <w:t xml:space="preserve">Ergebnis: </w:t>
      </w:r>
      <w:r>
        <w:t>12-Item-Version: Item-Level Content Validity Index 0,68, interne Konsistenz (Cronbachs α) 0,828, drei Faktoren erklären 57,82 % der Varianz. Reduzierte 10-Item-Version: Content Validity Index 0,78, zwei Faktoren erklären 59,16 %, interne Konsistenz 0,901. Skala noch nicht reif für klinische Anwendung, benötigt konfirmatorische Faktorenanalyse und Stabilitätstestung.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deutschsprachiger Raum – Instrument für Fluktuationsprognose; europäische Datengrundlage</w:t>
      </w:r>
    </w:p>
    <w:p>
      <w:r>
        <w:rPr>
          <w:color w:val="5A7D3A"/>
          <w:sz w:val="18"/>
        </w:rPr>
        <w:t>https://pubmed.ncbi.nlm.nih.gov/42817794/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