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05.10.2026  |  6 Studien  |  pflege.m-vf.de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Psychische Belastung bei Pflegekräften in Langzeitversorgung: Digitales Stufenprogramm reduziert Angst und Depression</w:t>
      </w:r>
    </w:p>
    <w:p>
      <w:r>
        <w:rPr>
          <w:i/>
          <w:color w:val="666666"/>
          <w:sz w:val="18"/>
        </w:rPr>
        <w:t>González-Spinoglio L et al.  ·  Depress Anxiety  ·  02.10.2026  ·  PMID 42829513</w:t>
      </w:r>
    </w:p>
    <w:p>
      <w:r>
        <w:t>Randomisierte Studie an 165 Langzeitpflegekräften (Heime und ambulante Dienste) mit psychischer Belastung, die ein WHO-basiertes digitales Stufenprogramm (DWM/PM+) erhielten versus Standard-Psychologische Erste Hilfe.</w:t>
      </w:r>
    </w:p>
    <w:p>
      <w:r>
        <w:rPr>
          <w:b/>
        </w:rPr>
        <w:t xml:space="preserve">Ergebnis: </w:t>
      </w:r>
      <w:r>
        <w:t>Interventionsgruppe zeigte nach 21 Wochen signifikant niedrigere depressive und Angststörungssymptome (mittlere Differenz 4,2, 95%-KI 1,1–7,3; Effektstärke 0,8, p&lt;0,05). Sekundäre Outcomes (PHQ-9, GAD-7, PTBS) ebenfalls signifikant verbessert, HR-QoL ohne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(Katalonien), Pflegekräfte in Langzeiteinrichtungen; vergleichbare EU-Rahmenbedingungen.</w:t>
      </w:r>
    </w:p>
    <w:p>
      <w:r>
        <w:rPr>
          <w:color w:val="5A7D3A"/>
          <w:sz w:val="18"/>
        </w:rPr>
        <w:t>https://pubmed.ncbi.nlm.nih.gov/42829513/</w:t>
      </w:r>
    </w:p>
    <w:p>
      <w:pPr>
        <w:pStyle w:val="Heading2"/>
      </w:pPr>
      <w:r>
        <w:t>Präventive Hausbesuche für ältere Menschen: Welche Partner arbeiten Besuchsteams ein?</w:t>
      </w:r>
    </w:p>
    <w:p>
      <w:r>
        <w:rPr>
          <w:i/>
          <w:color w:val="666666"/>
          <w:sz w:val="18"/>
        </w:rPr>
        <w:t>Nivestam A et al.  ·  Scand J Caring Sci  ·  Dez. 2026  ·  PMID 42828510</w:t>
      </w:r>
    </w:p>
    <w:p>
      <w:r>
        <w:t>Qualitative Analyse von fünf Fokusgruppen mit 16 Fachpersonen aus fünf schwedischen Gemeinden zu Kooperationen bei präventiven Hausbesuchen für ältere Menschen.</w:t>
      </w:r>
    </w:p>
    <w:p>
      <w:r>
        <w:rPr>
          <w:b/>
        </w:rPr>
        <w:t xml:space="preserve">Ergebnis: </w:t>
      </w:r>
      <w:r>
        <w:t>Heimbesucher arbeiten mit breitem Spektrum von Partnern zusammen: Politische Entscheidungsträger und Medien als kritisch für Unterstützung, sowie Partner im Bereich Freizeit, Partizipation, Lifelong Learning und Gesundheits-/Sozialwesen. Effektivität hängt von Unterstützung durch führende Positionen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skandinavische Sozialversicherung und präventive Hausbesuchsprogramme.</w:t>
      </w:r>
    </w:p>
    <w:p>
      <w:r>
        <w:rPr>
          <w:color w:val="5A7D3A"/>
          <w:sz w:val="18"/>
        </w:rPr>
        <w:t>https://pubmed.ncbi.nlm.nih.gov/42828510/</w:t>
      </w:r>
    </w:p>
    <w:p>
      <w:pPr>
        <w:pStyle w:val="Heading2"/>
      </w:pPr>
      <w:r>
        <w:t>Todesangst bei Palliativpflegekräften in China: Faktoren und psychosoziale Ressourcen</w:t>
      </w:r>
    </w:p>
    <w:p>
      <w:r>
        <w:rPr>
          <w:i/>
          <w:color w:val="666666"/>
          <w:sz w:val="18"/>
        </w:rPr>
        <w:t>Zhang J et al.  ·  BMC Palliat Care  ·  12.09.2026  ·  PMID 42827244</w:t>
      </w:r>
    </w:p>
    <w:p>
      <w:r>
        <w:t>Multicenter-Querschnittstudie an 318 zertifizierten Palliativpflegekräften in 44 Krankenhäusern der Provinz Shanxi, China zu Todesangst und deren Prädiktoren.</w:t>
      </w:r>
    </w:p>
    <w:p>
      <w:r>
        <w:rPr>
          <w:b/>
        </w:rPr>
        <w:t xml:space="preserve">Ergebnis: </w:t>
      </w:r>
      <w:r>
        <w:t>Median Todesangst-Score 45,0 (IQR 44–47); 95 % über Screening-Schwellenwert. Höheres Alter, weibliches Geschlecht, keine Kinder, höheres Einkommen (≥8.000 RMB) und ≥5 Jahre Berufserfahrung positiv assoziiert (p&lt;0,05); psychologisches Kapital und wahrgenommene Organisationsunterstützung negativ assoziiert (R²=0,66).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Fragestellung psychischer Belastung ist von Systemunterschiede unabhängig.</w:t>
      </w:r>
    </w:p>
    <w:p>
      <w:r>
        <w:rPr>
          <w:color w:val="5A7D3A"/>
          <w:sz w:val="18"/>
        </w:rPr>
        <w:t>https://pubmed.ncbi.nlm.nih.gov/42827244/</w:t>
      </w:r>
    </w:p>
    <w:p>
      <w:pPr>
        <w:pStyle w:val="Heading2"/>
      </w:pPr>
      <w:r>
        <w:t>Qualitätszirkel mit Projekt-Fokus verbessert TCM-Pflege bei älteren Patienten mit Radiusfrakturen</w:t>
      </w:r>
    </w:p>
    <w:p>
      <w:r>
        <w:rPr>
          <w:i/>
          <w:color w:val="666666"/>
          <w:sz w:val="18"/>
        </w:rPr>
        <w:t>Cao N et al.  ·  Medicine (Baltimore)  ·  02.10.2026  ·  PMID 42826296</w:t>
      </w:r>
    </w:p>
    <w:p>
      <w:r>
        <w:t>Retrospektive Vergleichsstudie mit 112 älteren Patienten mit konservativ behandelter Speichenbruchfraktur: 56 Routine-Pflege vs. 56 mit projektgesteuertem Qualitätszirkel-Modell plus TCM-Pflege.</w:t>
      </w:r>
    </w:p>
    <w:p>
      <w:r>
        <w:rPr>
          <w:b/>
        </w:rPr>
        <w:t xml:space="preserve">Ergebnis: </w:t>
      </w:r>
      <w:r>
        <w:t>Interventionsgruppe: Gesamtkomplikationen 3,6 % vs. 19,6 % (relatives Risiko 0,18, p=0,008); TCM-Interventionsrate 100 % vs. 64 % (p&lt;0,05); Cooney-Score (Handgelenkfunktion) 95 vs. 75 (p&lt;0,05); niedrigere Schmerz- und Schwellungswerte; höhere Patienten- und Mitarbeiterzufriedenheit.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QCC-Modell für Qualitätsverbesserung in Langzeitpflege übertragbar.</w:t>
      </w:r>
    </w:p>
    <w:p>
      <w:r>
        <w:rPr>
          <w:color w:val="5A7D3A"/>
          <w:sz w:val="18"/>
        </w:rPr>
        <w:t>https://pubmed.ncbi.nlm.nih.gov/42826296/</w:t>
      </w:r>
    </w:p>
    <w:p>
      <w:pPr>
        <w:pStyle w:val="Heading2"/>
      </w:pPr>
      <w:r>
        <w:t>Künstliche Intelligenz in der Pflege: Gewinn durch Workflow-Effizienz, Risiken durch digitale Belastung</w:t>
      </w:r>
    </w:p>
    <w:p>
      <w:r>
        <w:rPr>
          <w:i/>
          <w:color w:val="666666"/>
          <w:sz w:val="18"/>
        </w:rPr>
        <w:t>Zhang X et al.  ·  JMIR Nurs  ·  02.10.2026  ·  PMID 42826250</w:t>
      </w:r>
    </w:p>
    <w:p>
      <w:r>
        <w:t>Qualitative Studie mit 35 registrierten Pflegekräften in chinesischen Kliniken zu bidirektionalen Auswirkungen von AI-Anwendungen auf Arbeitsbelastung und Ressourcen, analysiert mit Job-Demands-Resources-Modell.</w:t>
      </w:r>
    </w:p>
    <w:p>
      <w:r>
        <w:rPr>
          <w:b/>
        </w:rPr>
        <w:t xml:space="preserve">Ergebnis: </w:t>
      </w:r>
      <w:r>
        <w:t>AI bot Effizienzgewinne (Workflow-Sprung, kognitive Entlastung, Wertschätzung), erzeugte aber neue Anforderungen: kognitives Unbehagen durch fehlende Literacy, relationale Erschöpfung, digitale Wettbewerbsperfektionismus. Puffereffekte: proaktive Bewältigungsstrategien, berufliche Grenzen, organisationale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Sicherheitsaspekt von Technologieintegration und Arbeitsbelastung international übertragbar.</w:t>
      </w:r>
    </w:p>
    <w:p>
      <w:r>
        <w:rPr>
          <w:color w:val="5A7D3A"/>
          <w:sz w:val="18"/>
        </w:rPr>
        <w:t>https://pubmed.ncbi.nlm.nih.gov/42826250/</w:t>
      </w:r>
    </w:p>
    <w:p>
      <w:pPr>
        <w:pStyle w:val="Heading2"/>
      </w:pPr>
      <w:r>
        <w:t>Pflegefachpersonen als Case Manager: Was Patienten nach großen Eingriffen erleben</w:t>
      </w:r>
    </w:p>
    <w:p>
      <w:r>
        <w:rPr>
          <w:i/>
          <w:color w:val="666666"/>
          <w:sz w:val="18"/>
        </w:rPr>
        <w:t>Acquistapace E et al.  ·  Nurs Open  ·  Sept. 2026  ·  PMID 42806862</w:t>
      </w:r>
    </w:p>
    <w:p>
      <w:r>
        <w:t>Qualitative phänomenologische Studie mit 16 Patienten sechs Monate nach Zystektomie zu deren Erlebnis einer Nurse Case Manager (NCM) in einem multidisziplinären Behandlungspfad.</w:t>
      </w:r>
    </w:p>
    <w:p>
      <w:r>
        <w:rPr>
          <w:b/>
        </w:rPr>
        <w:t xml:space="preserve">Ergebnis: </w:t>
      </w:r>
      <w:r>
        <w:t>Patienten nahmen NCM als beruhigende Präsenz und zugängliche Koordinatorin wahr, die Information, Fachkontakte und Kontinuität nach Entlassung erleichterte. Keine NCM-spezifischen Barrieren; Schwierigkeiten betrafen postoperative Erholung und Adaptation.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universitäres Klinikum; erweiterte Pflegerolle mit Case-Management-Funktionen.</w:t>
      </w:r>
    </w:p>
    <w:p>
      <w:r>
        <w:rPr>
          <w:color w:val="5A7D3A"/>
          <w:sz w:val="18"/>
        </w:rPr>
        <w:t>https://pubmed.ncbi.nlm.nih.gov/42806862/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