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18.10.2026  |  7 Studien  |  pflege.m-vf.de</w:t>
      </w:r>
    </w:p>
    <w:p>
      <w:pPr>
        <w:pStyle w:val="Heading1"/>
      </w:pPr>
      <w:r>
        <w:t>Aufgenommen am 18.10.2026</w:t>
      </w:r>
    </w:p>
    <w:p>
      <w:pPr>
        <w:pStyle w:val="Heading2"/>
      </w:pPr>
      <w:r>
        <w:t>Sekundäres Trauma und Wachstum bei Pflegefachpersonen: drei psychische Profile</w:t>
      </w:r>
    </w:p>
    <w:p>
      <w:r>
        <w:rPr>
          <w:i/>
          <w:color w:val="666666"/>
          <w:sz w:val="18"/>
        </w:rPr>
        <w:t>Hu A et al.  ·  Front Public Health  ·  02.10.2026  ·  PMID 42890603</w:t>
      </w:r>
    </w:p>
    <w:p>
      <w:r>
        <w:t>Querschnittsstudie bei 496 chinesischen klinischen Pflegefachpersonen zur Identifikation unterschiedlicher Profile sekundären Traumas und posttraumatischen Wachstums und deren Einflussfaktoren.</w:t>
      </w:r>
    </w:p>
    <w:p>
      <w:r>
        <w:rPr>
          <w:b/>
        </w:rPr>
        <w:t xml:space="preserve">Ergebnis: </w:t>
      </w:r>
      <w:r>
        <w:t>Drei Profile identifiziert: Niedrig-Antwort-Profil (34,3%), Hochrisiko-Profil (42,3%), Positiv-Wachstums-Profil (23,4%). Selbstbeurteilter Gesundheitsstatus, Arbeitszufriedenheit, wahrgenommenes Burnout, administrative Position, Persönlichkeitsmerkmale und soziale Unterstützung waren signifikant mit Profilzugehörigkeit assoziiert (p &lt; 0,05). Zeigt heterogene psychische Reaktionsmuster auf 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Kontext strukturelle Unterschiede; psychisches Belastungsprofil prinzipiell übertragbar</w:t>
      </w:r>
    </w:p>
    <w:p>
      <w:r>
        <w:rPr>
          <w:color w:val="5A7D3A"/>
          <w:sz w:val="18"/>
        </w:rPr>
        <w:t>https://pubmed.ncbi.nlm.nih.gov/42890603/</w:t>
      </w:r>
    </w:p>
    <w:p>
      <w:pPr>
        <w:pStyle w:val="Heading2"/>
      </w:pPr>
      <w:r>
        <w:t>Mentoring neu rekrutierter Intensivpfleger: Erfahrungen aus Ghana</w:t>
      </w:r>
    </w:p>
    <w:p>
      <w:r>
        <w:rPr>
          <w:i/>
          <w:color w:val="666666"/>
          <w:sz w:val="18"/>
        </w:rPr>
        <w:t>Konlan KD et al.  ·  Nurs Open  ·  Okt. 2026  ·  PMID 42888842</w:t>
      </w:r>
    </w:p>
    <w:p>
      <w:r>
        <w:t>Qualitative explorative Studie bei 12 neu rekrutierten Intensivpflegern in Accra zur Identifikation ihrer Erfahrungen und Bewältigungsstrategien in ressourcenlimitiertem Setting.</w:t>
      </w:r>
    </w:p>
    <w:p>
      <w:r>
        <w:rPr>
          <w:b/>
        </w:rPr>
        <w:t xml:space="preserve">Ergebnis: </w:t>
      </w:r>
      <w:r>
        <w:t>Kernthemen: Schichtkonflikte, fehlende Mentoren, unsupportive Lernumgebung; Bewältigungsstrategien: Selbstlerninitiative, Forderung nach strukturierten Orientierungsprogrammen, regelmäßige Evaluationen, Peer-Support-Netzwerke. Befunde zeigen: Ineffektives Mentoring durch Abwesenheit institutioneller Mentorship-Protokolle; strukturierte Orientation, Peer-Mentoring und geschützte Mentorship-Zeit als Lösungen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Ghana – ressourcenbegrenzt, aber Mentoring-Gap und Bewältigungsstrategien prinzipiell relevant</w:t>
      </w:r>
    </w:p>
    <w:p>
      <w:r>
        <w:rPr>
          <w:color w:val="5A7D3A"/>
          <w:sz w:val="18"/>
        </w:rPr>
        <w:t>https://pubmed.ncbi.nlm.nih.gov/42888842/</w:t>
      </w:r>
    </w:p>
    <w:p>
      <w:pPr>
        <w:pStyle w:val="Heading2"/>
      </w:pPr>
      <w:r>
        <w:t>Strukturiertes Schmerzmanagement bei Terminalpatienten: schneller Einsatz, bessere Outcomes</w:t>
      </w:r>
    </w:p>
    <w:p>
      <w:r>
        <w:rPr>
          <w:i/>
          <w:color w:val="666666"/>
          <w:sz w:val="18"/>
        </w:rPr>
        <w:t>Nie H et al.  ·  Medicine (Baltimore)  ·  16.10.2026  ·  PMID 42888634</w:t>
      </w:r>
    </w:p>
    <w:p>
      <w:r>
        <w:t>Retrospektive Kohortenstudie bei 724 Terminalkrebspatienten in der Notaufnahme zur Assoziation zwischen zeitgerechtem strukturiertem Schmerzmanagement und Schmerzlinderung.</w:t>
      </w:r>
    </w:p>
    <w:p>
      <w:r>
        <w:rPr>
          <w:b/>
        </w:rPr>
        <w:t xml:space="preserve">Ergebnis: </w:t>
      </w:r>
      <w:r>
        <w:t>58,2% der Patienten erreichten effektive Schmerzlinderung (≥2-Punkte-Reduktion innerhalb 1 Stunde). Unabhängige Prädiktoren: Schmerzassessment innerhalb 30 Minuten (OR 1,84), Analgetikagabe innerhalb 30 Minuten (OR 2,24), Opioidnutzung (OR 1,52), dokumentierte Reassessment (OR 1,69). Strukturierte Gruppe (n=286): 75,9% vs. 46,6% Schmerzlinderung, schnellerer Eintritt (29,6 ± 11,3 vs. 52,7 ± 15,9 Min.), kürzerer Aufenthalt (3,4 ± 1,1 vs. 4,7 ± 1,4 Std.), weniger Revisiten in 72h (7,3% vs. 21,0%,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Dokumentationspraxis übertragbar, Palliativversorgung relevant</w:t>
      </w:r>
    </w:p>
    <w:p>
      <w:r>
        <w:rPr>
          <w:color w:val="5A7D3A"/>
          <w:sz w:val="18"/>
        </w:rPr>
        <w:t>https://pubmed.ncbi.nlm.nih.gov/42888634/</w:t>
      </w:r>
    </w:p>
    <w:p>
      <w:pPr>
        <w:pStyle w:val="Heading2"/>
      </w:pPr>
      <w:r>
        <w:t>Moralischer Stress bei Neueinsteigern: Zusammenhang mit Kündigungsabsicht</w:t>
      </w:r>
    </w:p>
    <w:p>
      <w:r>
        <w:rPr>
          <w:i/>
          <w:color w:val="666666"/>
          <w:sz w:val="18"/>
        </w:rPr>
        <w:t>Harris MA et al.  ·  Nurs Open  ·  Okt. 2026  ·  PMID 42888519</w:t>
      </w:r>
    </w:p>
    <w:p>
      <w:r>
        <w:t>Querschnittsstudie bei 203 neu lizenzierten Pflegefachpersonen (194 RN, 9 LPN) in US-amerikanischer Akutversorgung zur Assoziation zwischen moralischem Stress und Kündigungsabsicht.</w:t>
      </w:r>
    </w:p>
    <w:p>
      <w:r>
        <w:rPr>
          <w:b/>
        </w:rPr>
        <w:t xml:space="preserve">Ergebnis: </w:t>
      </w:r>
      <w:r>
        <w:t>Moralischer Stress signifikant mit Kündigungsabsicht assoziiert (p&lt;0,05), kontrolliert für Abteilung und Lizenztyp. Höhere Scores für moralischen Stress und Kündigungsabsicht in Medical-Surgical/Stepdown-Abteilungen als in Critical Care/ED und Procedural/Surgical Einheiten. Befunde zeigen: Moralischer Stress ist bedeutsamer Faktor für Fluktuationsabsicht bei Neueinsteigern; departmentspezifische Unterschiede deuten auf Bedarf für Abteilungsinterventionen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Konzept übertragbar; deutsche Retention-Problematik bei Neueinsteigern ähnlich</w:t>
      </w:r>
    </w:p>
    <w:p>
      <w:r>
        <w:rPr>
          <w:color w:val="5A7D3A"/>
          <w:sz w:val="18"/>
        </w:rPr>
        <w:t>https://pubmed.ncbi.nlm.nih.gov/42888519/</w:t>
      </w:r>
    </w:p>
    <w:p>
      <w:pPr>
        <w:pStyle w:val="Heading2"/>
      </w:pPr>
      <w:r>
        <w:t>Belastung pflegender Eltern seltener Erkrankungen: unerwartete sozioökonomische Befunde</w:t>
      </w:r>
    </w:p>
    <w:p>
      <w:r>
        <w:rPr>
          <w:i/>
          <w:color w:val="666666"/>
          <w:sz w:val="18"/>
        </w:rPr>
        <w:t>Brandt M et al.  ·  Orphanet J Rare Dis  ·  12.10.2026  ·  PMID 42881418</w:t>
      </w:r>
    </w:p>
    <w:p>
      <w:r>
        <w:t>Querschnittsstudie bei 123 deutschen Eltern (84% weiblich) von Kindern mit seltenen Erkrankungen zur Erfassung von Pflegebelastung und ihrer Prädiktoren.</w:t>
      </w:r>
    </w:p>
    <w:p>
      <w:r>
        <w:rPr>
          <w:b/>
        </w:rPr>
        <w:t xml:space="preserve">Ergebnis: </w:t>
      </w:r>
      <w:r>
        <w:t>23% berichteten depressive Symptome (Borderline/klinisch relevant); 77% mindestens eine unerfüllte Unterstützungsneed; in Subgruppe mit Pflegebedarf: 24% hohe Pflegebelastung. Nach Adjustierung: Gruppe mit vs. ohne Pflegebedarf zeigte keine signifikanten Unterschiede in depressiven Symptomen, unerfüllten Needs oder Zufriedenheit (aber mittlere Effektstärken). Unerwartete Assoziation: höherer sozioökonomischer Status → höhere Pflegebelastung. Faktoren mit höchsten Assoziationen: niedrigere pflegebezogene Lebensqualität, höherer SES, elterliche depressive Symptome, niedrigere Zufriedenheit.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deutsches Sample, vergleichbare Sozialstruktur, familiäre Pflege zentral</w:t>
      </w:r>
    </w:p>
    <w:p>
      <w:r>
        <w:rPr>
          <w:color w:val="5A7D3A"/>
          <w:sz w:val="18"/>
        </w:rPr>
        <w:t>https://pubmed.ncbi.nlm.nih.gov/42881418/</w:t>
      </w:r>
    </w:p>
    <w:p>
      <w:pPr>
        <w:pStyle w:val="Heading2"/>
      </w:pPr>
      <w:r>
        <w:t>Haemostasis-Protokolle in der Interventionskardiologie: Supervision und Adhärenz bei Pflegefachpersonen</w:t>
      </w:r>
    </w:p>
    <w:p>
      <w:r>
        <w:rPr>
          <w:i/>
          <w:color w:val="666666"/>
          <w:sz w:val="18"/>
        </w:rPr>
        <w:t>Rodrigues D et al.  ·  J Nurs Manag  ·  2026  ·  PMID 42878027</w:t>
      </w:r>
    </w:p>
    <w:p>
      <w:r>
        <w:t>Querschnittsstudie bei 96 portugiesischen Fachkräften in fünf Krankenhäusern zur Einhaltung von Hämostase-Protokollen nach radialer Koronarangiographie und zur klinischen Supervision.</w:t>
      </w:r>
    </w:p>
    <w:p>
      <w:r>
        <w:rPr>
          <w:b/>
        </w:rPr>
        <w:t xml:space="preserve">Ergebnis: </w:t>
      </w:r>
      <w:r>
        <w:t>Nur 6,3% zeigten volle Adhärenz zum TR-Band-Protokoll, 44,2% teilweise Adhärenz; erhebliche Variabilität bei Nachsorge (Fahrverbot 24 h: 44,8 % vs. 48 h: 47,9 %); 88,5% der Pflegefachpersonen hatten keine formale Supervisionsschulung; Supervisoren nutzten vorwiegend Erklärung und Demonstration (87,3%), weniger Feedback (45,1%) und Diskussion (43,1%). Zeigt großes Defizit zwischen Protokoll und Praxis sowie in formativer Supervision.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 – vergleichbare Pflegefachausbildung, kardiovaskuläre Pflegepraxis übertragbar</w:t>
      </w:r>
    </w:p>
    <w:p>
      <w:r>
        <w:rPr>
          <w:color w:val="5A7D3A"/>
          <w:sz w:val="18"/>
        </w:rPr>
        <w:t>https://pubmed.ncbi.nlm.nih.gov/42878027/</w:t>
      </w:r>
    </w:p>
    <w:p>
      <w:pPr>
        <w:pStyle w:val="Heading2"/>
      </w:pPr>
      <w:r>
        <w:t>Krisen-Resilienz im deutschen Gesundheitswesen: Bereitschaft von Nachwuchspflegekräften</w:t>
      </w:r>
    </w:p>
    <w:p>
      <w:r>
        <w:rPr>
          <w:i/>
          <w:color w:val="666666"/>
          <w:sz w:val="18"/>
        </w:rPr>
        <w:t>Amling L et al.  ·  BMC Public Health  ·  02.10.2026  ·  PMID 42827239</w:t>
      </w:r>
    </w:p>
    <w:p>
      <w:r>
        <w:t>Querschnittsstudie bei 514 deutschen Studierenden (Medizin, Pflege, Rettungsdienst) zur Assoziationen zwischen Vorbereitung, Bewusstsein, Eigenverantwortung und Bereitschaft zur Krisenbewältigung.</w:t>
      </w:r>
    </w:p>
    <w:p>
      <w:r>
        <w:rPr>
          <w:b/>
        </w:rPr>
        <w:t xml:space="preserve">Ergebnis: </w:t>
      </w:r>
      <w:r>
        <w:t>48,8% hielten NATO-Szenario bis 2030 für wahrscheinlich; 83,3% erwarteten negative Auswirkungen auf deutsches Gesundheitssystem; 94,5% sahen Gesundheitssystem als schlecht vorbereitet; individuelle Vorbereitung niedrig (Median 3 auf 0–12-Skala); in multivariater Analyse: höher wahrgenommene institutionelle Vorbereitung (p&lt;0,01), freiwilliges Engagement (p&lt;0,01) und Bewusstsein (p&lt;0,01) signifikant mit höherer Bereitschaft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direkt anwendbar, deutsche Studiendaten, Nachwuchsproblem zentral</w:t>
      </w:r>
    </w:p>
    <w:p>
      <w:r>
        <w:rPr>
          <w:color w:val="5A7D3A"/>
          <w:sz w:val="18"/>
        </w:rPr>
        <w:t>https://pubmed.ncbi.nlm.nih.gov/42827239/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2026-10-18T06:00:00Z</dcterms:created>
  <dcterms:modified xsi:type="dcterms:W3CDTF">2026-10-18T06:00:00Z</dcterms:modified>
  <cp:category/>
</cp:coreProperties>
</file>