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02.09.2026  |  6 Studien  |  pflege.m-vf.de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 xml:space="preserve"> Akzeptanz- und Commitment-Therapie für pflegende Angehörige: was verbessert sich an ihrer Belastung?</w:t>
      </w:r>
    </w:p>
    <w:p>
      <w:r>
        <w:rPr>
          <w:i/>
          <w:color w:val="666666"/>
          <w:sz w:val="18"/>
        </w:rPr>
        <w:t>Teng L et al.  ·  Medicine (Baltimore)  ·  28.08.2026  ·  PMID 42675746</w:t>
      </w:r>
    </w:p>
    <w:p>
      <w:r>
        <w:t xml:space="preserve"> Randomisierte kontrollierte Studie mit 106 pflegenden Angehörigen von Stoma-Patienten in China, Vergleich: ACT (12 Wochen, n=53) versus Standardpflege (n=53).</w:t>
      </w:r>
    </w:p>
    <w:p>
      <w:r>
        <w:rPr>
          <w:b/>
        </w:rPr>
        <w:t xml:space="preserve">Ergebnis: </w:t>
      </w:r>
      <w:r>
        <w:t xml:space="preserve"> Psychologische Resilienz (Connor-Davidson): 24,94±7,69 vs 20,89±6,66, p&lt;0,05. Psychologische Flexibilität (AAQ-II): 19,57±7,78 vs 24,04±8,39, p&lt;0,05. Caregiving-Fähigkeit (FCTI): 7,75±3,69 vs 12,57±6,76, p&lt;0,05. Benefit Finding: 86,58±7,47 vs 78,75±8,12, p&lt;0,05. ACT führte zu klinisch relevanten Verbesserungen in Resilienz, Flexibilität, Caregiving und Benefit-Finding.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Mechanismus der Belastungsreduktion übertragbar, ACT international etabliert.</w:t>
      </w:r>
    </w:p>
    <w:p>
      <w:r>
        <w:rPr>
          <w:color w:val="5A7D3A"/>
          <w:sz w:val="18"/>
        </w:rPr>
        <w:t>https://pubmed.ncbi.nlm.nih.gov/42675746/</w:t>
      </w:r>
    </w:p>
    <w:p>
      <w:pPr>
        <w:pStyle w:val="Heading2"/>
      </w:pPr>
      <w:r>
        <w:t xml:space="preserve"> Pflegefachkräfte im Case Management ambulanter älterer Menschen: was bewirkt es wirklich?</w:t>
      </w:r>
    </w:p>
    <w:p>
      <w:r>
        <w:rPr>
          <w:i/>
          <w:color w:val="666666"/>
          <w:sz w:val="18"/>
        </w:rPr>
        <w:t>Mieda K et al.  ·  Int J Older People Nurs  ·  Sept. 2026  ·  PMID 42675567</w:t>
      </w:r>
    </w:p>
    <w:p>
      <w:r>
        <w:t xml:space="preserve"> Systematischer Review und Metaanalyse von 15 RCTs mit 7995 älteren Menschen zu Case-Management-Interventionen durch Pflegefachkräfte versus Standardversorgung.</w:t>
      </w:r>
    </w:p>
    <w:p>
      <w:r>
        <w:rPr>
          <w:b/>
        </w:rPr>
        <w:t xml:space="preserve">Ergebnis: </w:t>
      </w:r>
      <w:r>
        <w:t xml:space="preserve"> Institutionalisierung, Krankenhausaufnahmen und Sterblichkeit: very low certainty, keine relevanten Unterschiede. Lebensqualität (physisch): SMD 0,08 (95%-KI 0,00–0,15), moderate Gewissheit, nur geringe Verbesserung. Psychische Lebensqualität: wahrscheinlich leichte Verbesserung, Konfidenzintervall berührt Null. Physische Funktion: kein Unterschied.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westliche Länder mit ähnlichen Versorgungsstrukturen, eingeschränkte Übertragbarkeit auf deutsches Langzeitpflegesystem.</w:t>
      </w:r>
    </w:p>
    <w:p>
      <w:r>
        <w:rPr>
          <w:color w:val="5A7D3A"/>
          <w:sz w:val="18"/>
        </w:rPr>
        <w:t>https://pubmed.ncbi.nlm.nih.gov/42675567/</w:t>
      </w:r>
    </w:p>
    <w:p>
      <w:pPr>
        <w:pStyle w:val="Heading2"/>
      </w:pPr>
      <w:r>
        <w:t xml:space="preserve"> Insulin infusionsprotokolle in italienischen Intensivstationen: Variabilität pflegerischer Praxis</w:t>
      </w:r>
    </w:p>
    <w:p>
      <w:r>
        <w:rPr>
          <w:i/>
          <w:color w:val="666666"/>
          <w:sz w:val="18"/>
        </w:rPr>
        <w:t>Pujia C et al.  ·  Nurs Crit Care  ·  Sept. 2026  ·  PMID 42670715</w:t>
      </w:r>
    </w:p>
    <w:p>
      <w:r>
        <w:t>Nationale Querschnittsbefragung von 128 Intensivpflegekräften zu Protokollen für kontinuierliche intravenöse Insulininfusion, deren Variabilität und Einhaltung.</w:t>
      </w:r>
    </w:p>
    <w:p>
      <w:r>
        <w:rPr>
          <w:b/>
        </w:rPr>
        <w:t xml:space="preserve">Ergebnis: </w:t>
      </w:r>
      <w:r>
        <w:t>93,0 % (n=119) berichteten standardisierte Protokolle, aber erhebliche Variabilität in Initialisierungsschwellen (50,0 % bei 180 mg/dL), Messmethoden und Überwachungsfrequenz. Mediane Überwachungsintervalle vor Stabilisierung: 120 min (IQR 60–240), überschreitet empfohlenene Häufigkeit. Variabilität besonders bei Initialisierungsschwellen und Messmethoden vor Stabilisierung.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ähnliches Gesundheitssystem, aber Dokumentation variabel.</w:t>
      </w:r>
    </w:p>
    <w:p>
      <w:r>
        <w:rPr>
          <w:color w:val="5A7D3A"/>
          <w:sz w:val="18"/>
        </w:rPr>
        <w:t>https://pubmed.ncbi.nlm.nih.gov/42670715/</w:t>
      </w:r>
    </w:p>
    <w:p>
      <w:pPr>
        <w:pStyle w:val="Heading2"/>
      </w:pPr>
      <w:r>
        <w:t xml:space="preserve"> Kontinuitätsmodelle in Hebammenhilfe: bessere Betreuung bei Geburtsangst – was Frauen bewirkt und was sie verspricht</w:t>
      </w:r>
    </w:p>
    <w:p>
      <w:r>
        <w:rPr>
          <w:i/>
          <w:color w:val="666666"/>
          <w:sz w:val="18"/>
        </w:rPr>
        <w:t>Hildingsson I et al.  ·  Midwifery  ·  11.08.2026  ·  PMID 42612586</w:t>
      </w:r>
    </w:p>
    <w:p>
      <w:r>
        <w:t xml:space="preserve"> Prospektive Kohortenstudie mit 142 schwangeren Frauen mit Geburtsangst oder depressiven Symptomen in Schweden, vergleichend: Vollständige Kontinuität (Model A, n=50) versus Mischmodell mit Hebammen vor Ort und digitalen Kontakten (Model B, n=92).</w:t>
      </w:r>
    </w:p>
    <w:p>
      <w:r>
        <w:rPr>
          <w:b/>
        </w:rPr>
        <w:t xml:space="preserve">Ergebnis: </w:t>
      </w:r>
      <w:r>
        <w:t xml:space="preserve"> Hochzufriedenheit insgesamt; Frauen in Model A (Vollkontinuität) bewerteten Hebammnenunterstützung und Partnerbeteiligung signifikant höher. Defizite in beiden Gruppen beim Stillen und Postpartum-Information. Psychische Befindlichkeit, Übergangserleben und Geburtsvorbereitung: keine signifikanten Unterschiede zwischen Gruppen. Vollkontinuität mit stärkerer Unterstützung und Partnerbeteiligung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Hebammenkontinuität etabliert, europäisch übertragbar.</w:t>
      </w:r>
    </w:p>
    <w:p>
      <w:r>
        <w:rPr>
          <w:color w:val="5A7D3A"/>
          <w:sz w:val="18"/>
        </w:rPr>
        <w:t>https://pubmed.ncbi.nlm.nih.gov/42612586/</w:t>
      </w:r>
    </w:p>
    <w:p>
      <w:pPr>
        <w:pStyle w:val="Heading2"/>
      </w:pPr>
      <w:r>
        <w:t xml:space="preserve"> Mobile Health in Palliativpflege zu Hause: wie mHealth funktioniert – und was es braucht</w:t>
      </w:r>
    </w:p>
    <w:p>
      <w:r>
        <w:rPr>
          <w:i/>
          <w:color w:val="666666"/>
          <w:sz w:val="18"/>
        </w:rPr>
        <w:t>Gebre NT et al.  ·  JMIR Mhealth Uhealth  ·  14.08.2026  ·  PMID 42600073</w:t>
      </w:r>
    </w:p>
    <w:p>
      <w:r>
        <w:t xml:space="preserve"> Realist Review mit 126 eingeschlossenen Studien zu Kontextfaktoren und Mechanismen, die beeinflussen, wie mHealth-Interventionen in der Palliativpflege zu Hause Ergebnisse erzielen.</w:t>
      </w:r>
    </w:p>
    <w:p>
      <w:r>
        <w:rPr>
          <w:b/>
        </w:rPr>
        <w:t xml:space="preserve">Ergebnis: </w:t>
      </w:r>
      <w:r>
        <w:t xml:space="preserve"> Sechs zentrale Erfolgsfaktoren identifiziert: (1) Bedenken durch sachgerechte Orientierung von Patienten und Pflegekräften sowie klare Richtlinien mindern; (2) Infrastruktur- und Technologiebarrieren durch benutzerfreundliche Designs überwinden; (3) Interessengruppen einbeziehen, um mHealth an Gesundheitsbedarf, Nutzerpräferenzen und Organisationsbedarf abzustimmen; (4) interoperable Gesundheitsinformationssysteme; (5) Zugang zu Gesundheitsteams und regelmäßige Kommunikation; (6) Zugang zu Information, um Nutzenden Selbstkompetenz zu geben.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erfasst, prinzipien universell, aber nationale Unterschiede in Infrastruktur und Finanzierung relevant.</w:t>
      </w:r>
    </w:p>
    <w:p>
      <w:r>
        <w:rPr>
          <w:color w:val="5A7D3A"/>
          <w:sz w:val="18"/>
        </w:rPr>
        <w:t>https://pubmed.ncbi.nlm.nih.gov/42600073/</w:t>
      </w:r>
    </w:p>
    <w:p>
      <w:pPr>
        <w:pStyle w:val="Heading2"/>
      </w:pPr>
      <w:r>
        <w:t xml:space="preserve"> Medikamentenbezo gene Pflege ausfälle und Pflegeerfahrung: was kurzzeitige Abteilungen gefährdet</w:t>
      </w:r>
    </w:p>
    <w:p>
      <w:r>
        <w:rPr>
          <w:i/>
          <w:color w:val="666666"/>
          <w:sz w:val="18"/>
        </w:rPr>
        <w:t>Nielsen LN et al.  ·  Int Emerg Nurs  ·  05.08.2026  ·  PMID 42556128</w:t>
      </w:r>
    </w:p>
    <w:p>
      <w:r>
        <w:t>Querschnittsstudie unter 319 Pflegekräften in 16 dänischen Kurzzeitstationen zu unterlassener Pflege bei Medikamentenverabreichung und deren Zusammenhang mit Berufserfahrung.</w:t>
      </w:r>
    </w:p>
    <w:p>
      <w:r>
        <w:rPr>
          <w:b/>
        </w:rPr>
        <w:t xml:space="preserve">Ergebnis: </w:t>
      </w:r>
      <w:r>
        <w:t>63–73 % berichteten häufig verpasste Medikamentengaben. Pflegekräfte mit ≤2 Jahren Erfahrung meldeten seltener verpasste planmäßige Medikamentenvergaben als erfahrenere Kräfte. Hauptgrund für unterlassene Pflege: unerwartete Steigerung von Patientenzahl und -akuität. Organisatorische Faktoren wie unzureichende Personalbesetzung waren primäre Beitragsfaktoren.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Pflegesystem, ähnliche Dokumentationsstandards.</w:t>
      </w:r>
    </w:p>
    <w:p>
      <w:r>
        <w:rPr>
          <w:color w:val="5A7D3A"/>
          <w:sz w:val="18"/>
        </w:rPr>
        <w:t>https://pubmed.ncbi.nlm.nih.gov/42556128/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2026-09-02T06:00:00Z</dcterms:created>
  <dcterms:modified xsi:type="dcterms:W3CDTF">2026-09-02T06:00:00Z</dcterms:modified>
  <cp:category/>
</cp:coreProperties>
</file>