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23.10.2026  |  6 Studien  |  pflege.m-vf.de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Demenz-Rehabilitationsprogramm mit Angehörigenunterstützung: Was bewirkt es für pflegende Angehörige?</w:t>
      </w:r>
    </w:p>
    <w:p>
      <w:r>
        <w:rPr>
          <w:i/>
          <w:color w:val="666666"/>
          <w:sz w:val="18"/>
        </w:rPr>
        <w:t>Conradsson M et al.  ·  BMC Geriatr  ·  21.10.2026  ·  PMID 42907949</w:t>
      </w:r>
    </w:p>
    <w:p>
      <w:r>
        <w:t>Randomisierte Pilotstudie zu einem 20-wöchigen multiprofessionellen Rehabilitationsprogramm für Menschen mit Demenz im häuslichen Bereich, kombiniert mit Unterstützung und Schulung für pflegende Angehörige (Belastung, depressive Symptome, Lebensqualität).</w:t>
      </w:r>
    </w:p>
    <w:p>
      <w:r>
        <w:rPr>
          <w:b/>
        </w:rPr>
        <w:t xml:space="preserve">Ergebnis: </w:t>
      </w:r>
      <w:r>
        <w:t>95 % der Angehörigen berichteten nach den Gruppenveranstaltungen gestiegenes Wissen über Unterstützung der Erkrankten (20/21), 90 % verbesserte Bewältigungsstrategien. In Caregiver Burden Scale und Geriatric Depression Scale keine signifikanten Unterschiede zwischen Interventions- und Kontrollgruppe, aber Unterschiede in Lebensqualitäts-Subskalen zugunsten der Kontrolle in Monaten 24 und 36. Intervention zeigt gute Teilnahmefähigkeit (100 % Baseline-Assessment, 87 % bei Follow-ups).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Langzeitpflege-Strukturen und Versicherungssystem</w:t>
      </w:r>
    </w:p>
    <w:p>
      <w:r>
        <w:rPr>
          <w:color w:val="5A7D3A"/>
          <w:sz w:val="18"/>
        </w:rPr>
        <w:t>https://pubmed.ncbi.nlm.nih.gov/42907949/</w:t>
      </w:r>
    </w:p>
    <w:p>
      <w:pPr>
        <w:pStyle w:val="Heading2"/>
      </w:pPr>
      <w:r>
        <w:t>Personalisierte Pflegepläne zur Ernährung: weniger Wundinfektionen, kürzerer Krankenhausaufenthalt</w:t>
      </w:r>
    </w:p>
    <w:p>
      <w:r>
        <w:rPr>
          <w:i/>
          <w:color w:val="666666"/>
          <w:sz w:val="18"/>
        </w:rPr>
        <w:t>Lv T et al.  ·  BMC Surg  ·  27.07.2026  ·  PMID 42907841</w:t>
      </w:r>
    </w:p>
    <w:p>
      <w:r>
        <w:t>Retrospektive Kohortenstudie zu individualisierten Pflegeplänen basierend auf modifiziertem Ernährungsscreening (abPG-SGA) bei 206 kolorektalen Krebspatienten zur Optimierung postoperativen Ernährungsstatus, Komplikationen und Verweildauer.</w:t>
      </w:r>
    </w:p>
    <w:p>
      <w:r>
        <w:rPr>
          <w:b/>
        </w:rPr>
        <w:t xml:space="preserve">Ergebnis: </w:t>
      </w:r>
      <w:r>
        <w:t>Personalisierte Pflege assoziiert mit signifikant niedrigeren Odds für Wundinfektionen (adjustiertes OR 0,26, 95%-KI 0,08–0,85, p = 0,025) und Harnwegsinfektionen (OR 0,17, 95%-KI 0,03–0,79, p = 0,022). Krankenhausaufenthalt reduziert um 1,92 Tage (adjustiertes β = -1,92, 95%-KI -3,31 bis -0,53, p = 0,007). Postoperative Prealbumin-Werte um 29,1 mg/L verbessert (p = 0,004).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Ernährungsmanagement-Prinzipien und Komplikationsprävention universell</w:t>
      </w:r>
    </w:p>
    <w:p>
      <w:r>
        <w:rPr>
          <w:color w:val="5A7D3A"/>
          <w:sz w:val="18"/>
        </w:rPr>
        <w:t>https://pubmed.ncbi.nlm.nih.gov/42907841/</w:t>
      </w:r>
    </w:p>
    <w:p>
      <w:pPr>
        <w:pStyle w:val="Heading2"/>
      </w:pPr>
      <w:r>
        <w:t>Strukturiertes Schmerzmanagement durch Pflegende: weniger Schmerzen, bessere Zufriedenheit nach Operation</w:t>
      </w:r>
    </w:p>
    <w:p>
      <w:r>
        <w:rPr>
          <w:i/>
          <w:color w:val="666666"/>
          <w:sz w:val="18"/>
        </w:rPr>
        <w:t>Yan J et al.  ·  J Orthop Surg (Hong Kong)  ·  21.10.2026  ·  PMID 42906082</w:t>
      </w:r>
    </w:p>
    <w:p>
      <w:r>
        <w:t>Retrospektive Vor-Nachher-Studie (206 Patienten) zu einem von Pflegenden geleiteten Workflow mit strukturierter Schmerzerfassung (NRS-Dokumentation), Eskalation bei NRS ≥4 und Reassessment 30–60 min nach Rettungsanalgesie auf orthopädischen Stationen.</w:t>
      </w:r>
    </w:p>
    <w:p>
      <w:r>
        <w:rPr>
          <w:b/>
        </w:rPr>
        <w:t xml:space="preserve">Ergebnis: </w:t>
      </w:r>
      <w:r>
        <w:t>Ineffektive Schmerzkon trolle (NRS ≥4) in den ersten 24 h sank von 38,8 % auf 24,1 % (p = 0,023). Mediane Zeit bis erste Rettungsanalgesie fiel von 55 auf 30 Minuten (p &lt; 0,001). Bewegungsinduzierter Spitzenschmerz sank von 6,0 auf 5,0 (p &lt; 0,001). Hochzufriedenheit stieg von 67,3 % auf 80,6 % (p = 0,030). Adjustierte Odds Ratio für ineffektive Schmerzkon trolle: 0,53 (95%-KI 0,29–0,96).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universelle Schmerzbehandlungsprinzipien übertragbar</w:t>
      </w:r>
    </w:p>
    <w:p>
      <w:r>
        <w:rPr>
          <w:color w:val="5A7D3A"/>
          <w:sz w:val="18"/>
        </w:rPr>
        <w:t>https://pubmed.ncbi.nlm.nih.gov/42906082/</w:t>
      </w:r>
    </w:p>
    <w:p>
      <w:pPr>
        <w:pStyle w:val="Heading2"/>
      </w:pPr>
      <w:r>
        <w:t>Gerontologische Kompetenzen: junge Pflegekräfte selbstbewusster, aber Kompetenzlücken bleiben</w:t>
      </w:r>
    </w:p>
    <w:p>
      <w:r>
        <w:rPr>
          <w:i/>
          <w:color w:val="666666"/>
          <w:sz w:val="18"/>
        </w:rPr>
        <w:t>Tohmola A et al.  ·  Nurs Open  ·  Okt. 2026  ·  PMID 42905609</w:t>
      </w:r>
    </w:p>
    <w:p>
      <w:r>
        <w:t>Querschnittstudie mit 493 Pflegekräften (Fachkrankenpfleger und Krankenpflegehelfer) in Finnland zur Selbsteinschätzung gerontologischer Kompetenzen mit 53-Item-Instrument (11 Kompetenzbereiche).</w:t>
      </w:r>
    </w:p>
    <w:p>
      <w:r>
        <w:rPr>
          <w:b/>
        </w:rPr>
        <w:t xml:space="preserve">Ergebnis: </w:t>
      </w:r>
      <w:r>
        <w:t>Fachkrankenpfleger bewerteten Gesamtkompetenz als sehr gut oder gut. Stärkste Dimensionen: Beziehungsgestaltung, sichere Wohnumgebung, Funktionsfähigkeitserhalt. Statistische Signifikanz nur für Alter: unter 40 Jahren deutlich höhere Gesamtkompetenz als ab 50 Jahren. Defizite in einzelnen Bereichen bleiben trotz guter Gesamtbewertung. Befund unterstreicht Bedeutung kontinuierlicher Kompetenzentwicklung über gesamte Berufslaufbahn.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 nordeuropäische Pflegeausbildung</w:t>
      </w:r>
    </w:p>
    <w:p>
      <w:r>
        <w:rPr>
          <w:color w:val="5A7D3A"/>
          <w:sz w:val="18"/>
        </w:rPr>
        <w:t>https://pubmed.ncbi.nlm.nih.gov/42905609/</w:t>
      </w:r>
    </w:p>
    <w:p>
      <w:pPr>
        <w:pStyle w:val="Heading2"/>
      </w:pPr>
      <w:r>
        <w:t>Häusliche Diabetesversorgung in vulnerablen Familien: Grenzen von Fachkompetenz, Bedarf an Begleitung</w:t>
      </w:r>
    </w:p>
    <w:p>
      <w:r>
        <w:rPr>
          <w:i/>
          <w:color w:val="666666"/>
          <w:sz w:val="18"/>
        </w:rPr>
        <w:t>Jeppesen MN et al.  ·  Scand J Caring Sci  ·  Dez. 2026  ·  PMID 42904583</w:t>
      </w:r>
    </w:p>
    <w:p>
      <w:r>
        <w:t>Qualitative phänomenologische Studie mit 14 Fachpersonen (75 h Feldbeobachtung, Fokusgruppen) zu Herausforderungen bei häuslicher Typ-1-Diabetes-Versorgung von Kindern aus sozialen Risikosituationen in Dänemark.</w:t>
      </w:r>
    </w:p>
    <w:p>
      <w:r>
        <w:rPr>
          <w:b/>
        </w:rPr>
        <w:t xml:space="preserve">Ergebnis: </w:t>
      </w:r>
      <w:r>
        <w:t>Fachpersonen berichten von kontinuierlichem Lern- und Entwicklungsprozess, Anpassung von Fachkompetenz an Familienkontext erforderlich. Zentrale Dimensionen: Aufbau von Vertrauen und Beziehungsmanagement, emotionale Belastung, Umgang mit psychosozialen Problemen und ethischen Dilemmata oft jenseits vorhandener Expertise. Hauptbefund: Häusliche Diabetesversorgung erfordert Flexibilität, emotionale Bindung, erweiterte Kompetenzen; Bedarf für Struktursupervision, Peer-Support und organisatorische Anleitung.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nordeuropäisches Gesundheitssystem</w:t>
      </w:r>
    </w:p>
    <w:p>
      <w:r>
        <w:rPr>
          <w:color w:val="5A7D3A"/>
          <w:sz w:val="18"/>
        </w:rPr>
        <w:t>https://pubmed.ncbi.nlm.nih.gov/42904583/</w:t>
      </w:r>
    </w:p>
    <w:p>
      <w:pPr>
        <w:pStyle w:val="Heading2"/>
      </w:pPr>
      <w:r>
        <w:t>Telecare für pflegende Angehörige: Sicherheitsempfinden stärker als technische Leistung</w:t>
      </w:r>
    </w:p>
    <w:p>
      <w:r>
        <w:rPr>
          <w:i/>
          <w:color w:val="666666"/>
          <w:sz w:val="18"/>
        </w:rPr>
        <w:t>Dolničar V et al.  ·  JMIR Aging  ·  20.10.2026  ·  PMID 42904387</w:t>
      </w:r>
    </w:p>
    <w:p>
      <w:r>
        <w:t>Querschnittstudie mit 526 pflegenden Angehörigen in Slowenien zu Annahmefaktoren von Telecare-Technologien im Licht des UTAUT-Modells, erweitert um wahrgenommene psychosoziale Outcomes (Sicherheitsgefühl, Angstreduktion, Bindung).</w:t>
      </w:r>
    </w:p>
    <w:p>
      <w:r>
        <w:rPr>
          <w:b/>
        </w:rPr>
        <w:t xml:space="preserve">Ergebnis: </w:t>
      </w:r>
      <w:r>
        <w:t>Wahrgenommene psychosoziale Outcomes (Sicherheit, Stressabbau) zeigten stärkste Assoziation mit Nutzungsintention (β = 0,41, p &lt; 0,001) und erklärten 54 % der Varianz (R² = 0,54). Leistungserwartung (β = 0,52, p &lt; 0,001), Facilitating Conditions (β = 0,11, p = 0,005) und soziale Einflüsse (β = 0,21, p &lt; 0,001) waren zusätzliche Prädiktoren. Psychosoziale Outcomes reduzierten Koeffizient der Leistungserwartung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Slowenien, vergleichbare südeuropäische Versicherungslogik</w:t>
      </w:r>
    </w:p>
    <w:p>
      <w:r>
        <w:rPr>
          <w:color w:val="5A7D3A"/>
          <w:sz w:val="18"/>
        </w:rPr>
        <w:t>https://pubmed.ncbi.nlm.nih.gov/42904387/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