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Pflege und Langzeitversorgung</w:t>
      </w:r>
    </w:p>
    <w:p>
      <w:r>
        <w:rPr>
          <w:i/>
          <w:color w:val="666666"/>
          <w:sz w:val="18"/>
        </w:rPr>
        <w:t>Stand: 26.08.2026  |  25 Studien  |  pflege.m-vf.de</w:t>
      </w:r>
    </w:p>
    <w:p>
      <w:pPr>
        <w:pStyle w:val="Heading1"/>
      </w:pPr>
      <w:r>
        <w:t>Aufgenommen am 26.08.2026</w:t>
      </w:r>
    </w:p>
    <w:p>
      <w:pPr>
        <w:pStyle w:val="Heading2"/>
      </w:pPr>
      <w:r>
        <w:t>Eltern in der Neonatologie: Kommunikation und emotionale Unterstützung unzureichend</w:t>
      </w:r>
    </w:p>
    <w:p>
      <w:r>
        <w:rPr>
          <w:i/>
          <w:color w:val="666666"/>
          <w:sz w:val="18"/>
        </w:rPr>
        <w:t>Larsen LG et al.  ·  Scand J Caring Sci  ·  Sept. 2026  ·  PMID 42614042</w:t>
      </w:r>
    </w:p>
    <w:p>
      <w:r>
        <w:t>Qualitative Analyse von 311 Elternfragebögen zu Familienintegration in einer dänischen Level-IV-NICU mit familienzentriertem Ansatz.</w:t>
      </w:r>
    </w:p>
    <w:p>
      <w:r>
        <w:rPr>
          <w:b/>
        </w:rPr>
        <w:t xml:space="preserve">Ergebnis: </w:t>
      </w:r>
      <w:r>
        <w:t>Zwei Themen: Kommunikationsmängel und fehlende Anerkennung (Eltern fühlen sich ausgeschlossen, emotionale Unterstützung, Privatsphäre, Bonding vernachlässigt) sowie Mangel an individualisierter, familienbezogener Versorgung. Eltern berichten über Verwirrung und Unsicherheit.</w:t>
      </w:r>
    </w:p>
    <w:p>
      <w:r>
        <w:rPr>
          <w:b/>
          <w:sz w:val="19"/>
        </w:rPr>
        <w:t xml:space="preserve">Übertragbarkeit: </w:t>
      </w:r>
      <w:r>
        <w:rPr>
          <w:sz w:val="19"/>
        </w:rPr>
        <w:t>Skandinavien, vergleichbares Versicherungssystem; Befunde sind patientenberichtet.</w:t>
      </w:r>
    </w:p>
    <w:p>
      <w:r>
        <w:rPr>
          <w:color w:val="5A7D3A"/>
          <w:sz w:val="18"/>
        </w:rPr>
        <w:t>https://pubmed.ncbi.nlm.nih.gov/42614042/</w:t>
      </w:r>
    </w:p>
    <w:p>
      <w:pPr>
        <w:pStyle w:val="Heading1"/>
      </w:pPr>
      <w:r>
        <w:t>Aufgenommen am 25.08.2026</w:t>
      </w:r>
    </w:p>
    <w:p>
      <w:pPr>
        <w:pStyle w:val="Heading2"/>
      </w:pPr>
      <w:r>
        <w:t>Entlastungsprogram für Angehörige von Menschen mit Demenz: Machbarkeit und Hinweise auf Wirkung</w:t>
      </w:r>
    </w:p>
    <w:p>
      <w:r>
        <w:rPr>
          <w:i/>
          <w:color w:val="666666"/>
          <w:sz w:val="18"/>
        </w:rPr>
        <w:t>Yu Y et al.  ·  Nurs Open  ·  Aug. 2026  ·  PMID 42634407</w:t>
      </w:r>
    </w:p>
    <w:p>
      <w:r>
        <w:t>Interne Pilotstudie mit Mix-Method-Ansatz über 6 Monate mit 84 Angehörigen von Menschen mit Demenz in australischen Gemeinde- und Kliniken zur Machbarkeit und vorläufigen Effekten eines flexiblen iSupport-Programms.</w:t>
      </w:r>
    </w:p>
    <w:p>
      <w:r>
        <w:rPr>
          <w:b/>
        </w:rPr>
        <w:t xml:space="preserve">Ergebnis: </w:t>
      </w:r>
      <w:r>
        <w:t>Rekrutierungsquote 10 %, Beibehaltung 6 Monate 70 %. Engagement variabel über Komponenten. Vorläufig: Trend zu weniger Verhaltensproblemen bei Menschen mit Demenz und weniger Belastungsreaktionen der Angehörigen in der Interventionsgruppe; aber keine klare Evidenz für Effekte auf Lebensqualität oder Selbstwirksamkeit.</w:t>
      </w:r>
    </w:p>
    <w:p>
      <w:r>
        <w:rPr>
          <w:b/>
          <w:sz w:val="19"/>
        </w:rPr>
        <w:t xml:space="preserve">Übertragbarkeit: </w:t>
      </w:r>
      <w:r>
        <w:rPr>
          <w:sz w:val="19"/>
        </w:rPr>
        <w:t>Australien, Demenz-Angehörige, Struktur von Entlastungsangeboten auch auf Deutschland anwendbar</w:t>
      </w:r>
    </w:p>
    <w:p>
      <w:r>
        <w:rPr>
          <w:color w:val="5A7D3A"/>
          <w:sz w:val="18"/>
        </w:rPr>
        <w:t>https://pubmed.ncbi.nlm.nih.gov/42634407/</w:t>
      </w:r>
    </w:p>
    <w:p>
      <w:pPr>
        <w:pStyle w:val="Heading2"/>
      </w:pPr>
      <w:r>
        <w:t>Pflegeleitung entlastet: Kollegiale Unterstützung, Mentoring und Arbeitszeitschutz</w:t>
      </w:r>
    </w:p>
    <w:p>
      <w:r>
        <w:rPr>
          <w:i/>
          <w:color w:val="666666"/>
          <w:sz w:val="18"/>
        </w:rPr>
        <w:t>Johansen JH et al.  ·  J Nurs Manag  ·  2026  ·  PMID 42634271</w:t>
      </w:r>
    </w:p>
    <w:p>
      <w:r>
        <w:t>Qualitative Studie mit 22 semistrukturierten Interviews (18 Pflegeleiter, 4 andere Gesundheitsmanager) aus dänischer Region zur Identifikation von Ressourcen und Risiken für Wohlbefinden von Pflegeleitern auf relativen und organisatorischen Ebenen.</w:t>
      </w:r>
    </w:p>
    <w:p>
      <w:r>
        <w:rPr>
          <w:b/>
        </w:rPr>
        <w:t xml:space="preserve">Ergebnis: </w:t>
      </w:r>
      <w:r>
        <w:t>Vier kritische Ebenen: unmittelbare Führung, Peer-Leitungsgruppen, übergreifendes Mentoring, Arbeitssystemstrukturen. Schutzfaktoren: unterstützende Vorgesetzte, Peer-Sicherheit in Gruppen, Mentoring, bewältigbare Workloads. Ohne diese entstehen Isolation und Überlastung.</w:t>
      </w:r>
    </w:p>
    <w:p>
      <w:r>
        <w:rPr>
          <w:b/>
          <w:sz w:val="19"/>
        </w:rPr>
        <w:t xml:space="preserve">Übertragbarkeit: </w:t>
      </w:r>
      <w:r>
        <w:rPr>
          <w:sz w:val="19"/>
        </w:rPr>
        <w:t>Dänemark, öffentliches Gesundheitssystem, Leitungsstrukturen übertragbar</w:t>
      </w:r>
    </w:p>
    <w:p>
      <w:r>
        <w:rPr>
          <w:color w:val="5A7D3A"/>
          <w:sz w:val="18"/>
        </w:rPr>
        <w:t>https://pubmed.ncbi.nlm.nih.gov/42634271/</w:t>
      </w:r>
    </w:p>
    <w:p>
      <w:pPr>
        <w:pStyle w:val="Heading2"/>
      </w:pPr>
      <w:r>
        <w:t>Team-basierte Mentorierung von Pflegestudierenden: Was Lernziele erfolgreich macht</w:t>
      </w:r>
    </w:p>
    <w:p>
      <w:r>
        <w:rPr>
          <w:i/>
          <w:color w:val="666666"/>
          <w:sz w:val="18"/>
        </w:rPr>
        <w:t>Karjalainen T et al.  ·  Nurs Open  ·  Aug. 2026  ·  PMID 42614009</w:t>
      </w:r>
    </w:p>
    <w:p>
      <w:r>
        <w:t>Mixed-Methods-Studie mit 397 Pflegestudierenden zur Bewertung von Team-basierten Mentorierungsmodellen im klinischen Praktikum an einem Universitätskrankenhaus in Finnland (2019–2020).</w:t>
      </w:r>
    </w:p>
    <w:p>
      <w:r>
        <w:rPr>
          <w:b/>
        </w:rPr>
        <w:t xml:space="preserve">Ergebnis: </w:t>
      </w:r>
      <w:r>
        <w:t>Drei Schülerprofile identifiziert. Höhere Zufriedenheit, wenn Mentoren professionelle Entwicklung unterstützten und Lernziele diskutiert und erreicht wurden. Wichtig: gut ausgebildete, zielorientierte Mentoren, einheitliche pädagogische Umgebung, sichere Atmosphäre.</w:t>
      </w:r>
    </w:p>
    <w:p>
      <w:r>
        <w:rPr>
          <w:b/>
          <w:sz w:val="19"/>
        </w:rPr>
        <w:t xml:space="preserve">Übertragbarkeit: </w:t>
      </w:r>
      <w:r>
        <w:rPr>
          <w:sz w:val="19"/>
        </w:rPr>
        <w:t>Finnland, Universitätskrankenhaus, Mentorierungsansätze auf deutsches Ausbildungssystem übertragbar</w:t>
      </w:r>
    </w:p>
    <w:p>
      <w:r>
        <w:rPr>
          <w:color w:val="5A7D3A"/>
          <w:sz w:val="18"/>
        </w:rPr>
        <w:t>https://pubmed.ncbi.nlm.nih.gov/42614009/</w:t>
      </w:r>
    </w:p>
    <w:p>
      <w:pPr>
        <w:pStyle w:val="Heading1"/>
      </w:pPr>
      <w:r>
        <w:t>Aufgenommen am 24.08.2026</w:t>
      </w:r>
    </w:p>
    <w:p>
      <w:pPr>
        <w:pStyle w:val="Heading2"/>
      </w:pPr>
      <w:r>
        <w:t>Medikamentensicherheits-Checkliste bei Pflegeheim-Übergängen: 51 % niedrigeres Wiederaufnahmrisiko</w:t>
      </w:r>
    </w:p>
    <w:p>
      <w:r>
        <w:rPr>
          <w:i/>
          <w:color w:val="666666"/>
          <w:sz w:val="18"/>
        </w:rPr>
        <w:t>Chen JS et al.  ·  J Eval Clin Pract  ·  Aug. 2026  ·  PMID 42633689</w:t>
      </w:r>
    </w:p>
    <w:p>
      <w:r>
        <w:t>Quasiexperimentelle Pilotstudie (n=200 Heimbewohner in Taiwan) zum Effekt einer risiko-basierten Medikamentensicherheits-Checkliste bei Entlassung auf ungeplante Krankenhauswiederaufnahmen in 90 Tagen.</w:t>
      </w:r>
    </w:p>
    <w:p>
      <w:r>
        <w:rPr>
          <w:b/>
        </w:rPr>
        <w:t xml:space="preserve">Ergebnis: </w:t>
      </w:r>
      <w:r>
        <w:t>Interventionsgruppe mit Checkliste: 51,1 % geringeres Wiederaufnahmerisiko als Kontrollgruppe (HR = 0,489; 95%-KI: 0,324–0,731). Präventive Medikationenkommunikation und Hochrisiko-Identifikation zeigt Machbarkeit. Als Pilotstudie mit Clusterallokation bedarf es Bestätigung in größeren Randomisierungsstudien.</w:t>
      </w:r>
    </w:p>
    <w:p>
      <w:r>
        <w:rPr>
          <w:b/>
          <w:sz w:val="19"/>
        </w:rPr>
        <w:t xml:space="preserve">Übertragbarkeit: </w:t>
      </w:r>
      <w:r>
        <w:rPr>
          <w:sz w:val="19"/>
        </w:rPr>
        <w:t>Taiwan, Qualitätsintervention; Transitionsmanagement und Medikamentensicherheit auf verschiedene Kontexte übertragbar.</w:t>
      </w:r>
    </w:p>
    <w:p>
      <w:r>
        <w:rPr>
          <w:color w:val="5A7D3A"/>
          <w:sz w:val="18"/>
        </w:rPr>
        <w:t>https://pubmed.ncbi.nlm.nih.gov/42633689/</w:t>
      </w:r>
    </w:p>
    <w:p>
      <w:pPr>
        <w:pStyle w:val="Heading2"/>
      </w:pPr>
      <w:r>
        <w:t>Intrinsische Kapazität und Pflegeergebnisse im häuslichen Kontext: Fünf Verlaufstrends mit unterschiedlichen Risiken</w:t>
      </w:r>
    </w:p>
    <w:p>
      <w:r>
        <w:rPr>
          <w:i/>
          <w:color w:val="666666"/>
          <w:sz w:val="18"/>
        </w:rPr>
        <w:t>Egbujie BA et al.  ·  Age Ageing  ·  03.08.2026  ·  PMID 42632919</w:t>
      </w:r>
    </w:p>
    <w:p>
      <w:r>
        <w:t>Kanadische Kohortenstudie (n=302.467 Heimenpflegepatienten) mit Analyse von Intrinsic-Capacity-Trajektorien über die Zeit mittels Group-Based Trajectory Modelling und Assoziationen zu Mortalität und Pflegeheimaufnahme.</w:t>
      </w:r>
    </w:p>
    <w:p>
      <w:r>
        <w:rPr>
          <w:b/>
        </w:rPr>
        <w:t xml:space="preserve">Ergebnis: </w:t>
      </w:r>
      <w:r>
        <w:t>Fünf unterschiedliche Kapazitätsverlaufstrends identifiziert. Moderate Ausgangskapazität mit stabiler oder verbesserter Trajektorie führte zu niedrigerer Pflegeheimaufnahmerate (38,1 %) als moderate Kapazität mit Verschlechterung (48,4 %). Kognitive Beeinträchtigung stark mit negativen Trajektorien assoziiert. Einzelne Assessments erfassen outcome-Heterogenität unzureichend.</w:t>
      </w:r>
    </w:p>
    <w:p>
      <w:r>
        <w:rPr>
          <w:b/>
          <w:sz w:val="19"/>
        </w:rPr>
        <w:t xml:space="preserve">Übertragbarkeit: </w:t>
      </w:r>
      <w:r>
        <w:rPr>
          <w:sz w:val="19"/>
        </w:rPr>
        <w:t>Kanada, vergleichbares Langzeitpflegesystem; Routinedaten (interRAI) für Versorgungsplanung genutzt.</w:t>
      </w:r>
    </w:p>
    <w:p>
      <w:r>
        <w:rPr>
          <w:color w:val="5A7D3A"/>
          <w:sz w:val="18"/>
        </w:rPr>
        <w:t>https://pubmed.ncbi.nlm.nih.gov/42632919/</w:t>
      </w:r>
    </w:p>
    <w:p>
      <w:pPr>
        <w:pStyle w:val="Heading2"/>
      </w:pPr>
      <w:r>
        <w:t>Hochdosis-Grippeimpfstoff in Pflegeheimen: 30,8 % weniger Krankenhauseinweisungen für Heimbewohner ab 65</w:t>
      </w:r>
    </w:p>
    <w:p>
      <w:r>
        <w:rPr>
          <w:i/>
          <w:color w:val="666666"/>
          <w:sz w:val="18"/>
        </w:rPr>
        <w:t>Bricout H et al.  ·  Age Ageing  ·  03.08.2026  ·  PMID 42632918</w:t>
      </w:r>
    </w:p>
    <w:p>
      <w:r>
        <w:t>Französische Kohortenstudie zur Effektivität von Hochdosis- gegenüber Standarddosis-Influenza-Impfstoff in 76.858 gematchten Heimbewohnern (Durchschnittsalter 88 Jahre) in der Saison 2022–2023.</w:t>
      </w:r>
    </w:p>
    <w:p>
      <w:r>
        <w:rPr>
          <w:b/>
        </w:rPr>
        <w:t xml:space="preserve">Ergebnis: </w:t>
      </w:r>
      <w:r>
        <w:t>Hochdosis-Impfstoff führte zu 30,8 % weniger influenzabedingten Krankenhauseinweisungen (95%-KI: 11,8–45,7; p = 0,0029; 302 vs. 438 pro 100.000 Personenjahre). Kein signifikanter Effekt auf Pneumonie oder Kombinationsergebnisse. Relative Vakzineeffektivität für prioritäre Risikogruppe bestätigt.</w:t>
      </w:r>
    </w:p>
    <w:p>
      <w:r>
        <w:rPr>
          <w:b/>
          <w:sz w:val="19"/>
        </w:rPr>
        <w:t xml:space="preserve">Übertragbarkeit: </w:t>
      </w:r>
      <w:r>
        <w:rPr>
          <w:sz w:val="19"/>
        </w:rPr>
        <w:t>Frankreich, vergleichbare Altersstruktur und Dokumentation; methodisch rigoros mit Propensity-Matching.</w:t>
      </w:r>
    </w:p>
    <w:p>
      <w:r>
        <w:rPr>
          <w:color w:val="5A7D3A"/>
          <w:sz w:val="18"/>
        </w:rPr>
        <w:t>https://pubmed.ncbi.nlm.nih.gov/42632918/</w:t>
      </w:r>
    </w:p>
    <w:p>
      <w:pPr>
        <w:pStyle w:val="Heading2"/>
      </w:pPr>
      <w:r>
        <w:t>Magnet®-Zertifizierung in deutschen Kliniken: Kostendaten und Implementierungslücken für Pflegeverbesserung</w:t>
      </w:r>
    </w:p>
    <w:p>
      <w:r>
        <w:rPr>
          <w:i/>
          <w:color w:val="666666"/>
          <w:sz w:val="18"/>
        </w:rPr>
        <w:t>Gurisch C et al.  ·  BMC Health Serv Res  ·  12.08.2026  ·  PMID 42608687</w:t>
      </w:r>
    </w:p>
    <w:p>
      <w:r>
        <w:t>Scoping Review und Interviews (n=6) mit Pflegeleitung in fünf deutschen Unikliniken zur Identifikation von Kosten und Einsparungen bei Magnet®-Zertifizierung in deutschem Kontext.</w:t>
      </w:r>
    </w:p>
    <w:p>
      <w:r>
        <w:rPr>
          <w:b/>
        </w:rPr>
        <w:t xml:space="preserve">Ergebnis: </w:t>
      </w:r>
      <w:r>
        <w:t>Kosten: ANCC-Gebühren, Benchmarking, Personalentwicklung, Datenmanagementsysteme. Deutsche Besonderheit: Akademisierung von Pflegekräften und Pflegeindikatoren als Kostenblöcke. Einsparungspotenziale bei pflegeindikatoren, Personalbinduung, Krankenhausleistung identifiziert, aber kritische Datenlücken für Kosteneffizienz-Analyse in Deutschland.</w:t>
      </w:r>
    </w:p>
    <w:p>
      <w:r>
        <w:rPr>
          <w:b/>
          <w:sz w:val="19"/>
        </w:rPr>
        <w:t xml:space="preserve">Übertragbarkeit: </w:t>
      </w:r>
      <w:r>
        <w:rPr>
          <w:sz w:val="19"/>
        </w:rPr>
        <w:t>Deutschland, Analyse für deutsches Gesundheitssystem; zeigt erhebliche Datenlücken auf.</w:t>
      </w:r>
    </w:p>
    <w:p>
      <w:r>
        <w:rPr>
          <w:color w:val="5A7D3A"/>
          <w:sz w:val="18"/>
        </w:rPr>
        <w:t>https://pubmed.ncbi.nlm.nih.gov/42608687/</w:t>
      </w:r>
    </w:p>
    <w:p>
      <w:pPr>
        <w:pStyle w:val="Heading1"/>
      </w:pPr>
      <w:r>
        <w:t>Aufgenommen am 23.08.2026</w:t>
      </w:r>
    </w:p>
    <w:p>
      <w:pPr>
        <w:pStyle w:val="Heading2"/>
      </w:pPr>
      <w:r>
        <w:t>Organisationale Führung und psychische Belastung Pflegender: was Arbeitsbelastung verstärkt und was sie abmildert</w:t>
      </w:r>
    </w:p>
    <w:p>
      <w:r>
        <w:rPr>
          <w:i/>
          <w:color w:val="666666"/>
          <w:sz w:val="18"/>
        </w:rPr>
        <w:t>Annunziata KN et al.  ·  J Nurs Manag  ·  2026  ·  PMID 42630083</w:t>
      </w:r>
    </w:p>
    <w:p>
      <w:r>
        <w:t>Interviews mit 15 europäischen Pflegekräften in der Suchtbehandlung untersuchten, wie Arbeitsbelastung durch Sekundärtraumatisierung entsteht und welche Führungsinterventionen sie abmildern.</w:t>
      </w:r>
    </w:p>
    <w:p>
      <w:r>
        <w:rPr>
          <w:b/>
        </w:rPr>
        <w:t xml:space="preserve">Ergebnis: </w:t>
      </w:r>
      <w:r>
        <w:t>Organisationale Führung fungierte als Risiko- oder Schutzfaktor: unterstützende, strukturierte Maßnahmen wie Awareness, Schulung und emotionale Unterstützung reduzierten die Auswirkungen. Schlecht ausgestaltete Führung verschärfte die Belastung.</w:t>
      </w:r>
    </w:p>
    <w:p>
      <w:r>
        <w:rPr>
          <w:b/>
          <w:sz w:val="19"/>
        </w:rPr>
        <w:t xml:space="preserve">Übertragbarkeit: </w:t>
      </w:r>
      <w:r>
        <w:rPr>
          <w:sz w:val="19"/>
        </w:rPr>
        <w:t>Europa, Qualitativ, Schnittstellenposition zwischen Burnout und Organisationsinterventionen</w:t>
      </w:r>
    </w:p>
    <w:p>
      <w:r>
        <w:rPr>
          <w:color w:val="5A7D3A"/>
          <w:sz w:val="18"/>
        </w:rPr>
        <w:t>https://pubmed.ncbi.nlm.nih.gov/42630083/</w:t>
      </w:r>
    </w:p>
    <w:p>
      <w:pPr>
        <w:pStyle w:val="Heading2"/>
      </w:pPr>
      <w:r>
        <w:t>Zuwanderung von Pflegekräften nach dem Brexit: Auswirkungen auf Fachkräftemangel und Krankenhausvakanzen im britischen Gesundheitsdienst</w:t>
      </w:r>
    </w:p>
    <w:p>
      <w:r>
        <w:rPr>
          <w:i/>
          <w:color w:val="666666"/>
          <w:sz w:val="18"/>
        </w:rPr>
        <w:t>Ramesh T et al.  ·  JAMA Health Forum  ·  07.08.2026  ·  PMID 42627655</w:t>
      </w:r>
    </w:p>
    <w:p>
      <w:r>
        <w:t>Querschnittstudie mit Unterbrechungsreihenanalyse: Brexit-Referendum 2016 und Einwanderung von Ärztinnen und Pflegekräften in UK (OECD-Daten 2008–2019) sowie monatliche NHS-Vakanzen April 2015–Dezember 2019.</w:t>
      </w:r>
    </w:p>
    <w:p>
      <w:r>
        <w:rPr>
          <w:b/>
        </w:rPr>
        <w:t xml:space="preserve">Ergebnis: </w:t>
      </w:r>
      <w:r>
        <w:t>Brexit-bedingt: 825 EU-Ärzte und 2.771 EU-Pflegekräfte weniger im ersten Jahr. Nicht-EU-Zuwanderung stieg später (+1.437 Pflegekräfte/Jahr 2017–2019), kompensierte aber nicht vollständig. Ärztliche Vakanzen stiegen um 383 Stellen (95%-KI 88–679), Pflegevakanzen blieben erhöht.</w:t>
      </w:r>
    </w:p>
    <w:p>
      <w:r>
        <w:rPr>
          <w:b/>
          <w:sz w:val="19"/>
        </w:rPr>
        <w:t xml:space="preserve">Übertragbarkeit: </w:t>
      </w:r>
      <w:r>
        <w:rPr>
          <w:sz w:val="19"/>
        </w:rPr>
        <w:t>UK-Migrationspolitik übertragbar auf Versorgungssystemplanung, aber nicht auf Lizensierungsstrukturen</w:t>
      </w:r>
    </w:p>
    <w:p>
      <w:r>
        <w:rPr>
          <w:color w:val="5A7D3A"/>
          <w:sz w:val="18"/>
        </w:rPr>
        <w:t>https://pubmed.ncbi.nlm.nih.gov/42627655/</w:t>
      </w:r>
    </w:p>
    <w:p>
      <w:pPr>
        <w:pStyle w:val="Heading2"/>
      </w:pPr>
      <w:r>
        <w:t>Belastung informeller Pflegender von Krebspatienten: Was Emotionen und Aufopferung damit zu tun haben</w:t>
      </w:r>
    </w:p>
    <w:p>
      <w:r>
        <w:rPr>
          <w:i/>
          <w:color w:val="666666"/>
          <w:sz w:val="18"/>
        </w:rPr>
        <w:t>Ham L et al.  ·  Support Care Cancer  ·  21.08.2026  ·  PMID 42627385</w:t>
      </w:r>
    </w:p>
    <w:p>
      <w:r>
        <w:t>Querschnittserhebung mit 3.171 Angehörigen von Krebspatienten in den Niederlanden (Online-Survey) mit logistischen Regressionsanalysen zu erlebter Belastung und deren Zusammenhängen.</w:t>
      </w:r>
    </w:p>
    <w:p>
      <w:r>
        <w:rPr>
          <w:b/>
        </w:rPr>
        <w:t xml:space="preserve">Ergebnis: </w:t>
      </w:r>
      <w:r>
        <w:t>93% gaben an, dass es sich gut anfühlt, für den Angehörigen da zu sein; 83% hatten Angst vor Trauerverlust. Jede fünfte Person (20%) berichtete erhebliche Belastung durch Pflege. Höhere Belastung trat auf, wenn Angehörige das Leben vollständig dem Patienten anpassten und sich stärker gaben als empfunden.</w:t>
      </w:r>
    </w:p>
    <w:p>
      <w:r>
        <w:rPr>
          <w:b/>
          <w:sz w:val="19"/>
        </w:rPr>
        <w:t xml:space="preserve">Übertragbarkeit: </w:t>
      </w:r>
      <w:r>
        <w:rPr>
          <w:sz w:val="19"/>
        </w:rPr>
        <w:t>Niederlande, vergleichbare Sozialversicherung und Versorgungskultur</w:t>
      </w:r>
    </w:p>
    <w:p>
      <w:r>
        <w:rPr>
          <w:color w:val="5A7D3A"/>
          <w:sz w:val="18"/>
        </w:rPr>
        <w:t>https://pubmed.ncbi.nlm.nih.gov/42627385/</w:t>
      </w:r>
    </w:p>
    <w:p>
      <w:pPr>
        <w:pStyle w:val="Heading2"/>
      </w:pPr>
      <w:r>
        <w:t>Nadelstichverletzungen unter Pflegekräften und medizinischem Personal: Fünf-Jahres-Analyse aus kroatischen Universitätskliniken</w:t>
      </w:r>
    </w:p>
    <w:p>
      <w:r>
        <w:rPr>
          <w:i/>
          <w:color w:val="666666"/>
          <w:sz w:val="18"/>
        </w:rPr>
        <w:t>Čučević Đ et al.  ·  East Mediterr Health J  ·  02.08.2026  ·  PMID 42626802</w:t>
      </w:r>
    </w:p>
    <w:p>
      <w:r>
        <w:t>Retrosprektive Analyse gemeldeter Nadelstich- und Schnittschutzunfälle 2018–2022 an zwei Universitätskliniken in Kroatien; Vergleich Pre-Pandemie (2018–2019) vs. Pandemie (2020–2022).</w:t>
      </w:r>
    </w:p>
    <w:p>
      <w:r>
        <w:rPr>
          <w:b/>
        </w:rPr>
        <w:t xml:space="preserve">Ergebnis: </w:t>
      </w:r>
      <w:r>
        <w:t>3.554 Nadelstichverletzungen über fünf Jahre; Nadeln verursachten 68,6% (2.373 Fälle). Pflegekräfte und medizinisch-technische Angestellte waren mit 51,4% am stärksten betroffen (95%-KI 49,7–53,0). Verletzungen nahmen während Pandemie zu: 1.930 vs. 1.624 vor Pandemie.</w:t>
      </w:r>
    </w:p>
    <w:p>
      <w:r>
        <w:rPr>
          <w:b/>
          <w:sz w:val="19"/>
        </w:rPr>
        <w:t xml:space="preserve">Übertragbarkeit: </w:t>
      </w:r>
      <w:r>
        <w:rPr>
          <w:sz w:val="19"/>
        </w:rPr>
        <w:t>Europa, ähnliche Infektionsschutzstandards, aber höhere Belastung durch Pandemie</w:t>
      </w:r>
    </w:p>
    <w:p>
      <w:r>
        <w:rPr>
          <w:color w:val="5A7D3A"/>
          <w:sz w:val="18"/>
        </w:rPr>
        <w:t>https://pubmed.ncbi.nlm.nih.gov/42626802/</w:t>
      </w:r>
    </w:p>
    <w:p>
      <w:pPr>
        <w:pStyle w:val="Heading1"/>
      </w:pPr>
      <w:r>
        <w:t>Aufgenommen am 21.08.2026</w:t>
      </w:r>
    </w:p>
    <w:p>
      <w:pPr>
        <w:pStyle w:val="Heading2"/>
      </w:pPr>
      <w:r>
        <w:t>Professionelle Gesundheitskompetenz von Hebammen: Ergebnisse einer bayerischen Befragung</w:t>
      </w:r>
    </w:p>
    <w:p>
      <w:r>
        <w:rPr>
          <w:i/>
          <w:color w:val="666666"/>
          <w:sz w:val="18"/>
        </w:rPr>
        <w:t>Sponsel S et al.  ·  Gesundheitswesen  ·  19.08.2026  ·  PMID 42617637</w:t>
      </w:r>
    </w:p>
    <w:p>
      <w:r>
        <w:t>Querschnitts-Online-Befragung von 668 bayerischen Hebammen (November 2023–Mai 2024) mittels PROF-HL-Q (34 Items, vier Kompetenzbereiche) zur professionellen Gesundheitskompetenz.</w:t>
      </w:r>
    </w:p>
    <w:p>
      <w:r>
        <w:rPr>
          <w:b/>
        </w:rPr>
        <w:t xml:space="preserve">Ergebnis: </w:t>
      </w:r>
      <w:r>
        <w:t>Mittlere Punktwerte pro Kompetenzbereich lagen zwischen 48,6 und 78,0 von 100 Punkten. Patientenzentrierte Kommunikation am höchsten bewertet, professionelle digitale Gesundheitskompetenz am niedrigsten. Kompetenzbereiche mit Förderungsbedarf identifiziert. Curriculare Anpassungen und gezielte Fort-/Weiterbildungen in Digitalisierung, Evidenzbasierung und Kommunikation erforderlich.</w:t>
      </w:r>
    </w:p>
    <w:p>
      <w:r>
        <w:rPr>
          <w:b/>
          <w:sz w:val="19"/>
        </w:rPr>
        <w:t xml:space="preserve">Übertragbarkeit: </w:t>
      </w:r>
      <w:r>
        <w:rPr>
          <w:sz w:val="19"/>
        </w:rPr>
        <w:t>Deutschland (Bayern), vollständig in deutschem Kontext und Berufssystem</w:t>
      </w:r>
    </w:p>
    <w:p>
      <w:r>
        <w:rPr>
          <w:color w:val="5A7D3A"/>
          <w:sz w:val="18"/>
        </w:rPr>
        <w:t>https://pubmed.ncbi.nlm.nih.gov/42617637/</w:t>
      </w:r>
    </w:p>
    <w:p>
      <w:pPr>
        <w:pStyle w:val="Heading1"/>
      </w:pPr>
      <w:r>
        <w:t>Aufgenommen am 20.08.2026</w:t>
      </w:r>
    </w:p>
    <w:p>
      <w:pPr>
        <w:pStyle w:val="Heading2"/>
      </w:pPr>
      <w:r>
        <w:t>Datenkompetenz in der Langzeitpflege: Organisationale Reife und Barrieren für datengesteuerte Versorgung</w:t>
      </w:r>
    </w:p>
    <w:p>
      <w:r>
        <w:rPr>
          <w:i/>
          <w:color w:val="666666"/>
          <w:sz w:val="18"/>
        </w:rPr>
        <w:t>Bouchmal S et al.  ·  J Med Internet Res  ·  19.08.2026  ·  PMID 42617155</w:t>
      </w:r>
    </w:p>
    <w:p>
      <w:r>
        <w:t>Mixed-Methods-Studie zur Bewertung der Datenkompetenz in drei niederländischen Langzeitpflegeorganisationen und zur Identifikation von Faktoren, die die Nutzung von Daten für Versorgungsverbesserungen behindern.</w:t>
      </w:r>
    </w:p>
    <w:p>
      <w:r>
        <w:rPr>
          <w:b/>
        </w:rPr>
        <w:t xml:space="preserve">Ergebnis: </w:t>
      </w:r>
      <w:r>
        <w:t>Langzeitpflegeorganisationen zeigen geringe Datenkompetenz, besonders in den Bereichen Strategie, Governance und Datenqualität. Schlüsselhindernisse sind fehlende Vision für datengesteuerte Versorgung, mangelnde Datenkultur, begrenzte interdisziplinäre Zusammenarbeit und unzureichende technische Infrastruktur. Voraussetzung für Fortschritt sind integrierte Strategien, die technische, kulturelle und interprofessionelle Bedingungen verbinden.</w:t>
      </w:r>
    </w:p>
    <w:p>
      <w:r>
        <w:rPr>
          <w:b/>
          <w:sz w:val="19"/>
        </w:rPr>
        <w:t xml:space="preserve">Übertragbarkeit: </w:t>
      </w:r>
      <w:r>
        <w:rPr>
          <w:sz w:val="19"/>
        </w:rPr>
        <w:t>Niederlande, vergleichbare Versicherungsstruktur, ähnliche Governance-Herausforderungen</w:t>
      </w:r>
    </w:p>
    <w:p>
      <w:r>
        <w:rPr>
          <w:color w:val="5A7D3A"/>
          <w:sz w:val="18"/>
        </w:rPr>
        <w:t>https://pubmed.ncbi.nlm.nih.gov/42617155/</w:t>
      </w:r>
    </w:p>
    <w:p>
      <w:pPr>
        <w:pStyle w:val="Heading2"/>
      </w:pPr>
      <w:r>
        <w:t>Telemedizin-Intervention in Pflegeheimen: Hospitalisierungsraten und Implementierungsbarrieren</w:t>
      </w:r>
    </w:p>
    <w:p>
      <w:r>
        <w:rPr>
          <w:i/>
          <w:color w:val="666666"/>
          <w:sz w:val="18"/>
        </w:rPr>
        <w:t>Grosser J et al.  ·  JMIR Aging  ·  19.08.2026  ·  PMID 42616612</w:t>
      </w:r>
    </w:p>
    <w:p>
      <w:r>
        <w:t>Cluster-randomisierte Stepped-Wedge-Studie über 24 Pflegeheime in Nordrhein-Westfalen zu einer intersektorialen Telemedizin-Intervention mit Frühwarnsystem und mobilen Nichtarzt-Assistenten zur Vermeidung von Krankenhauseinweisungen.</w:t>
      </w:r>
    </w:p>
    <w:p>
      <w:r>
        <w:rPr>
          <w:b/>
        </w:rPr>
        <w:t xml:space="preserve">Ergebnis: </w:t>
      </w:r>
      <w:r>
        <w:t>Von 1260 analysierten Regressionsmodellen zeigten etwa zwei Drittel einen negativen (protektiven) Effekt, aber kein Modell erreichte statistische Signifikanz (p&lt;0,05). Die Hypothese einer signifikanten Reduktion von Hospitalisierungen wurde nicht unterstützt. Externe Faktoren wie Hochwasser und COVID-19-Pandemie beeinträchtigten die Implementierung und Effektivitätsmessung erheblich.</w:t>
      </w:r>
    </w:p>
    <w:p>
      <w:r>
        <w:rPr>
          <w:b/>
          <w:sz w:val="19"/>
        </w:rPr>
        <w:t xml:space="preserve">Übertragbarkeit: </w:t>
      </w:r>
      <w:r>
        <w:rPr>
          <w:sz w:val="19"/>
        </w:rPr>
        <w:t>Deutschlandweit, lokale Daten und Bedingungen, aber externe Störfaktoren müssen kontrolliert werden</w:t>
      </w:r>
    </w:p>
    <w:p>
      <w:r>
        <w:rPr>
          <w:color w:val="5A7D3A"/>
          <w:sz w:val="18"/>
        </w:rPr>
        <w:t>https://pubmed.ncbi.nlm.nih.gov/42616612/</w:t>
      </w:r>
    </w:p>
    <w:p>
      <w:pPr>
        <w:pStyle w:val="Heading2"/>
      </w:pPr>
      <w:r>
        <w:t>Schichtplanung in der Pflege: Was Pflegekräfte wirklich wollen – Diskrete-Choice-Experimente</w:t>
      </w:r>
    </w:p>
    <w:p>
      <w:r>
        <w:rPr>
          <w:i/>
          <w:color w:val="666666"/>
          <w:sz w:val="18"/>
        </w:rPr>
        <w:t>Dall'Ora C et al.  ·  BMJ Open  ·  18.08.2026  ·  PMID 42613123</w:t>
      </w:r>
    </w:p>
    <w:p>
      <w:r>
        <w:t>Discrete-Choice-Experiment mit 1449 registrierten Pflegekräften aus dem Vereinigten Königreich zur Quantifizierung von Präferenzen für Schichtmerkmale und deren Wechselwirkung mit Bezahlung.</w:t>
      </w:r>
    </w:p>
    <w:p>
      <w:r>
        <w:rPr>
          <w:b/>
        </w:rPr>
        <w:t xml:space="preserve">Ergebnis: </w:t>
      </w:r>
      <w:r>
        <w:t>Alle sechs Schichtattribute waren statistisch signifikante Einflussfaktoren. Stärkste Aversionen: Nur-Nachtschichten (β=−1,113, erfordert 29% Mehrausgleich) und kein freies Wochenende (β=−0,790, erfordert 21% Mehrausgleich). Vorhersehbare Rosters (β=−0,220), Schichtwahlflexibilität (β=−0,189) und Lohnerhöhungen (β=−0,525) reduzierten Unzufriedenheit. 9–10-Stunden-Schichten wurden 8-Stunden-Schichten vorgezogen.</w:t>
      </w:r>
    </w:p>
    <w:p>
      <w:r>
        <w:rPr>
          <w:b/>
          <w:sz w:val="19"/>
        </w:rPr>
        <w:t xml:space="preserve">Übertragbarkeit: </w:t>
      </w:r>
      <w:r>
        <w:rPr>
          <w:sz w:val="19"/>
        </w:rPr>
        <w:t>Großbritannien, Arbeitsmärkte ähnlich, aber deutsche Fachkraftknappheit und Schichtsysteme unterscheiden sich</w:t>
      </w:r>
    </w:p>
    <w:p>
      <w:r>
        <w:rPr>
          <w:color w:val="5A7D3A"/>
          <w:sz w:val="18"/>
        </w:rPr>
        <w:t>https://pubmed.ncbi.nlm.nih.gov/42613123/</w:t>
      </w:r>
    </w:p>
    <w:p>
      <w:pPr>
        <w:pStyle w:val="Heading1"/>
      </w:pPr>
      <w:r>
        <w:t>Aufgenommen am 19.08.2026</w:t>
      </w:r>
    </w:p>
    <w:p>
      <w:pPr>
        <w:pStyle w:val="Heading2"/>
      </w:pPr>
      <w:r>
        <w:t>Delirium bei Demenz im Pflegeheim: Prävalenz und Prognose – ein deutsches Kohorten-Protokoll</w:t>
      </w:r>
    </w:p>
    <w:p>
      <w:r>
        <w:rPr>
          <w:i/>
          <w:color w:val="666666"/>
          <w:sz w:val="18"/>
        </w:rPr>
        <w:t>Molitor V et al.  ·  BMC Geriatr  ·  15.08.2026  ·  PMID 42608678</w:t>
      </w:r>
    </w:p>
    <w:p>
      <w:r>
        <w:t>Protokoll einer prospektiven Multizenterstudie in 20 deutschen Heimen (August 2025 bis Juli 2028) mit etwa 300 Heimbewohnern mit Demenz; wöchentliches Screening auf Delirium überlagert auf Demenz über 6 Monate.</w:t>
      </w:r>
    </w:p>
    <w:p>
      <w:r>
        <w:rPr>
          <w:b/>
        </w:rPr>
        <w:t xml:space="preserve">Ergebnis: </w:t>
      </w:r>
      <w:r>
        <w:t>Noch laufend; Ziel ist die Ermittlung von Prävalenz, Inzidenz, Risikofaktoren, klinischem Verlauf und Pflegeprozessen bei superimposed Delirium als Grundlage für evidenzbasierte Prävention.</w:t>
      </w:r>
    </w:p>
    <w:p>
      <w:r>
        <w:rPr>
          <w:b/>
          <w:sz w:val="19"/>
        </w:rPr>
        <w:t xml:space="preserve">Übertragbarkeit: </w:t>
      </w:r>
      <w:r>
        <w:rPr>
          <w:sz w:val="19"/>
        </w:rPr>
        <w:t>Deutschland, speziell deutsches Heimsetting mit hiesigen Assess-Tools.</w:t>
      </w:r>
    </w:p>
    <w:p>
      <w:r>
        <w:rPr>
          <w:color w:val="5A7D3A"/>
          <w:sz w:val="18"/>
        </w:rPr>
        <w:t>https://pubmed.ncbi.nlm.nih.gov/42608678/</w:t>
      </w:r>
    </w:p>
    <w:p>
      <w:pPr>
        <w:pStyle w:val="Heading2"/>
      </w:pPr>
      <w:r>
        <w:t>Videovisiten im Pflegealltag: Pflegefachpersonen zwischen Effizienzanforderung und relationalem Anspruch</w:t>
      </w:r>
    </w:p>
    <w:p>
      <w:r>
        <w:rPr>
          <w:i/>
          <w:color w:val="666666"/>
          <w:sz w:val="18"/>
        </w:rPr>
        <w:t>Groth S et al.  ·  PLoS One  ·  11.08.2026  ·  PMID 42579655</w:t>
      </w:r>
    </w:p>
    <w:p>
      <w:r>
        <w:t>Qualitative Studie mit zwei Fokusgruppen (12 Pflegekräfte) aus zwei dänischen Kardiologie-Ambulanzen zur Erfahrung mit Videovisiten und deren Auswirkung auf die Pflegebeziehung.</w:t>
      </w:r>
    </w:p>
    <w:p>
      <w:r>
        <w:rPr>
          <w:b/>
        </w:rPr>
        <w:t xml:space="preserve">Ergebnis: </w:t>
      </w:r>
      <w:r>
        <w:t>Drei Hauptthemen: Videovisiten erfordern gutes Timing; Pflegefachpersonen sahen Spannungen zwischen Effizienzzielen, organisationalen Bedingungen und Wert relationaler Praxis. Technologie erleichterte Flexibilität, fachliche Qualität hinge aber von Organisationsstütze, Training und klarer Implementierungsstrategie ab – Führung und Integration in Workflows waren kritisch für nachhaltigen Einsatz.</w:t>
      </w:r>
    </w:p>
    <w:p>
      <w:r>
        <w:rPr>
          <w:b/>
          <w:sz w:val="19"/>
        </w:rPr>
        <w:t xml:space="preserve">Übertragbarkeit: </w:t>
      </w:r>
      <w:r>
        <w:rPr>
          <w:sz w:val="19"/>
        </w:rPr>
        <w:t>Dänemark, vergleichbar strukturiertes Gesundheitssystem, spricht Organisationsfragen an.</w:t>
      </w:r>
    </w:p>
    <w:p>
      <w:r>
        <w:rPr>
          <w:color w:val="5A7D3A"/>
          <w:sz w:val="18"/>
        </w:rPr>
        <w:t>https://pubmed.ncbi.nlm.nih.gov/42579655/</w:t>
      </w:r>
    </w:p>
    <w:p>
      <w:pPr>
        <w:pStyle w:val="Heading1"/>
      </w:pPr>
      <w:r>
        <w:t>Aufgenommen am 18.08.2026</w:t>
      </w:r>
    </w:p>
    <w:p>
      <w:pPr>
        <w:pStyle w:val="Heading2"/>
      </w:pPr>
      <w:r>
        <w:t>Krankenhausentlassung ins Pflegeheim: Outcomes und Komplikationen bei 198 älteren Patienten</w:t>
      </w:r>
    </w:p>
    <w:p>
      <w:r>
        <w:rPr>
          <w:i/>
          <w:color w:val="666666"/>
          <w:sz w:val="18"/>
        </w:rPr>
        <w:t>Nash TS et al.  ·  Aust Health Rev  ·  03.09.2026  ·  PMID 42608335</w:t>
      </w:r>
    </w:p>
    <w:p>
      <w:r>
        <w:t>Retrospektive Kohortenstudie mit 293 als langzeitig hospitalisiert markierten und 198 schließlich ins Pflegeheim entlassenen älteren Patienten (Median 83 Jahre); Verfolgung von Übergangsverzögerungen und 90-Tage-Outcomes.</w:t>
      </w:r>
    </w:p>
    <w:p>
      <w:r>
        <w:rPr>
          <w:b/>
        </w:rPr>
        <w:t xml:space="preserve">Ergebnis: </w:t>
      </w:r>
      <w:r>
        <w:t>Mediane Verweildauer 28 Tage (Aufnahme bis Bereitschaft), 24 Tage (Bereitschaft bis Heimaufnahme); 36 % erfüllten das zusammengesetzte Outcome (Notaufnahmen, ungeplante Wiederaufnahmen oder Scheitern der Platzierung innerhalb 90 Tagen); 32 % besuchten Notaufnahme, 22 % wurden wiederaufgenommen, 5 % Platzierungsversagen.</w:t>
      </w:r>
    </w:p>
    <w:p>
      <w:r>
        <w:rPr>
          <w:b/>
          <w:sz w:val="19"/>
        </w:rPr>
        <w:t xml:space="preserve">Übertragbarkeit: </w:t>
      </w:r>
      <w:r>
        <w:rPr>
          <w:sz w:val="19"/>
        </w:rPr>
        <w:t>Australien, aber Sicherungs- und Übergangsproblematik ähnlich deutschem System</w:t>
      </w:r>
    </w:p>
    <w:p>
      <w:r>
        <w:rPr>
          <w:color w:val="5A7D3A"/>
          <w:sz w:val="18"/>
        </w:rPr>
        <w:t>https://pubmed.ncbi.nlm.nih.gov/42608335/</w:t>
      </w:r>
    </w:p>
    <w:p>
      <w:pPr>
        <w:pStyle w:val="Heading2"/>
      </w:pPr>
      <w:r>
        <w:t>Lebensqualität in Pflegeheimen: Einfluss von Einsamkeit, Aktivitäten und Außenräumen</w:t>
      </w:r>
    </w:p>
    <w:p>
      <w:r>
        <w:rPr>
          <w:i/>
          <w:color w:val="666666"/>
          <w:sz w:val="18"/>
        </w:rPr>
        <w:t>Alves B et al.  ·  Psychogeriatrics  ·  Sept. 2026  ·  PMID 42581428</w:t>
      </w:r>
    </w:p>
    <w:p>
      <w:r>
        <w:t>Querschnittstudie mit 213 Bewohnern in 22 portugiesischen Pflegeheimen zur Identifikation individueller und institutioneller Faktoren für Lebensqualität.</w:t>
      </w:r>
    </w:p>
    <w:p>
      <w:r>
        <w:rPr>
          <w:b/>
        </w:rPr>
        <w:t xml:space="preserve">Ergebnis: </w:t>
      </w:r>
      <w:r>
        <w:t>Durchschnittlicher WHOQOL-OLD-Score 63,3/100; höhere Einsamkeit reduzierte Lebensqualität um 0,79 Punkte (p&lt;0,001); Beteiligung an Heimaufgaben (+7,67 Punkte, p&lt;0,001), Besuche (+7,10 Punkte) und Außenräume (+6,52 Punkte) verbesserten Lebensqualität signifikant.</w:t>
      </w:r>
    </w:p>
    <w:p>
      <w:r>
        <w:rPr>
          <w:b/>
          <w:sz w:val="19"/>
        </w:rPr>
        <w:t xml:space="preserve">Übertragbarkeit: </w:t>
      </w:r>
      <w:r>
        <w:rPr>
          <w:sz w:val="19"/>
        </w:rPr>
        <w:t>Portugal, südeuropäisches Langzeitpflege-Setting, Ergebnisse auf deutsche Heime übertragbar</w:t>
      </w:r>
    </w:p>
    <w:p>
      <w:r>
        <w:rPr>
          <w:color w:val="5A7D3A"/>
          <w:sz w:val="18"/>
        </w:rPr>
        <w:t>https://pubmed.ncbi.nlm.nih.gov/42581428/</w:t>
      </w:r>
    </w:p>
    <w:p>
      <w:pPr>
        <w:pStyle w:val="Heading2"/>
      </w:pPr>
      <w:r>
        <w:t>Hospital at Home für Heimbewohner mit körperlichem Verfall: Erfahrungen des Pflegepersonals</w:t>
      </w:r>
    </w:p>
    <w:p>
      <w:r>
        <w:rPr>
          <w:i/>
          <w:color w:val="666666"/>
          <w:sz w:val="18"/>
        </w:rPr>
        <w:t>Nwolise C et al.  ·  Age Ageing  ·  03.08.2026  ·  PMID 42580694</w:t>
      </w:r>
    </w:p>
    <w:p>
      <w:r>
        <w:t>Qualitative Studie zu Erfahrungen von Heimleitern und Pflegepersonal mit dem Hospital-at-Home-Modell (Versorgung im gewohnten Setting statt Krankenhausaufnahme) bei älteren Bewohnern in englischen Pflegeheimen.</w:t>
      </w:r>
    </w:p>
    <w:p>
      <w:r>
        <w:rPr>
          <w:b/>
        </w:rPr>
        <w:t xml:space="preserve">Ergebnis: </w:t>
      </w:r>
      <w:r>
        <w:t>50 Befragte und 20 interviewte Pflegepersonen; Hospital at Home wurde als wertvoll wahrgenommen mit verbesserten Outcomes (Kontinuität, Würde, geringere Krankenhausrisiken) gegenüber stationärer Aufnahme, aber Barrieren wie begrenzte Kapazität und Öffnungszeiten schränken die Implementierung ein.</w:t>
      </w:r>
    </w:p>
    <w:p>
      <w:r>
        <w:rPr>
          <w:b/>
          <w:sz w:val="19"/>
        </w:rPr>
        <w:t xml:space="preserve">Übertragbarkeit: </w:t>
      </w:r>
      <w:r>
        <w:rPr>
          <w:sz w:val="19"/>
        </w:rPr>
        <w:t>England, aber Versorgungslogik vergleichbar mit deutschen Heimversorgungsmodellen</w:t>
      </w:r>
    </w:p>
    <w:p>
      <w:r>
        <w:rPr>
          <w:color w:val="5A7D3A"/>
          <w:sz w:val="18"/>
        </w:rPr>
        <w:t>https://pubmed.ncbi.nlm.nih.gov/42580694/</w:t>
      </w:r>
    </w:p>
    <w:p>
      <w:pPr>
        <w:pStyle w:val="Heading2"/>
      </w:pPr>
      <w:r>
        <w:t>Integrierte Versorgung für Kinder mit speziellen Versorgungsbedarfen: Lücken in Koordination und Familienorientierung</w:t>
      </w:r>
    </w:p>
    <w:p>
      <w:r>
        <w:rPr>
          <w:i/>
          <w:color w:val="666666"/>
          <w:sz w:val="18"/>
        </w:rPr>
        <w:t>Bohnert K et al.  ·  BMC Health Serv Res  ·  08.08.2026  ·  PMID 42576220</w:t>
      </w:r>
    </w:p>
    <w:p>
      <w:r>
        <w:t>Querschnittstudie in Deutschland mit 459 Eltern von Kindern mit neurologischen, entwicklungs- und verhaltensauffälligen Störungen zur Erfahrung der sektorenübergreifenden Versorgungskoordination und Familienunterstützung.</w:t>
      </w:r>
    </w:p>
    <w:p>
      <w:r>
        <w:rPr>
          <w:b/>
        </w:rPr>
        <w:t xml:space="preserve">Ergebnis: </w:t>
      </w:r>
      <w:r>
        <w:t>Moderate Teamqualität und Kommunikation (Mittelwert 4,1±1,1), niedrige Aufmerksamkeit für Familienbelastung (2,3±1,1); Zusammenhang mit ungedeckten Bedarfen: 1-4 ungedeckte Bedarfe assoziiert mit um 0,28 Punkte niedrigerer Teamqualität (p&lt;0,05), ≥5 Bedarfe um 0,83 Punkte niedriger (p&lt;0,05); größere Versorgungsnetzwerke mit besserer Familienorientierung (4-5 Provider: β=0,33; 6-10 Provider: β=0,38, jeweils p&lt;0,05).</w:t>
      </w:r>
    </w:p>
    <w:p>
      <w:r>
        <w:rPr>
          <w:b/>
          <w:sz w:val="19"/>
        </w:rPr>
        <w:t xml:space="preserve">Übertragbarkeit: </w:t>
      </w:r>
      <w:r>
        <w:rPr>
          <w:sz w:val="19"/>
        </w:rPr>
        <w:t>Deutschland, deutsche Kohortenstudie mit deutschem Versorgungssystem</w:t>
      </w:r>
    </w:p>
    <w:p>
      <w:r>
        <w:rPr>
          <w:color w:val="5A7D3A"/>
          <w:sz w:val="18"/>
        </w:rPr>
        <w:t>https://pubmed.ncbi.nlm.nih.gov/42576220/</w:t>
      </w:r>
    </w:p>
    <w:p>
      <w:pPr>
        <w:pStyle w:val="Heading2"/>
      </w:pPr>
      <w:r>
        <w:t>Palliativversorgung im Pflegeheim: Managementerfahrungen nach Schulung des Personals</w:t>
      </w:r>
    </w:p>
    <w:p>
      <w:r>
        <w:rPr>
          <w:i/>
          <w:color w:val="666666"/>
          <w:sz w:val="18"/>
        </w:rPr>
        <w:t>Åvik Persson H et al.  ·  BMC Palliat Care  ·  11.08.2026  ·  PMID 42576216</w:t>
      </w:r>
    </w:p>
    <w:p>
      <w:r>
        <w:t>Qualitativ-thematische Follow-up-Studie mit 22 Heimleitern in 20 schwedischen Pflegeheimen, die an einer mehrzentrisch evaluierten Schulungsintervention (KUPA-Programm: Seminare, reflektive Aktivitäten, Aufgaben) teilnahmen.</w:t>
      </w:r>
    </w:p>
    <w:p>
      <w:r>
        <w:rPr>
          <w:b/>
        </w:rPr>
        <w:t xml:space="preserve">Ergebnis: </w:t>
      </w:r>
      <w:r>
        <w:t>Interviews zeigten drei Hauptthemen: Navigation organisatorischer Barrieren, Aufrechterhaltung der Implementierung trotz Ressourcenmangel, Verbesserung des Wissens und gemeinsamer Sprache zum Thema Palliativpflege über Professionen hinweg; Langzeitkommitment, finanzielle Ressourcen und Managementkompetenz als Erfolgsfaktoren (qualitativ, keine quantifizierten Outcomes, aber Beobachtung von Implementierungshaltbarkeit).</w:t>
      </w:r>
    </w:p>
    <w:p>
      <w:r>
        <w:rPr>
          <w:b/>
          <w:sz w:val="19"/>
        </w:rPr>
        <w:t xml:space="preserve">Übertragbarkeit: </w:t>
      </w:r>
      <w:r>
        <w:rPr>
          <w:sz w:val="19"/>
        </w:rPr>
        <w:t>Schweden, skandinavisches Langzeitpflege-System mit vergleichbaren Finanzierungs- und Organisationsstrukturen</w:t>
      </w:r>
    </w:p>
    <w:p>
      <w:r>
        <w:rPr>
          <w:color w:val="5A7D3A"/>
          <w:sz w:val="18"/>
        </w:rPr>
        <w:t>https://pubmed.ncbi.nlm.nih.gov/42576216/</w:t>
      </w:r>
    </w:p>
    <w:p>
      <w:pPr>
        <w:pStyle w:val="Heading2"/>
      </w:pPr>
      <w:r>
        <w:t>Personalisierte Gewinnung und Bindung von akademisch ausgebildeten Pflegekräften: was BSN-Absolventen in deutschen Kliniken wirklich wollen</w:t>
      </w:r>
    </w:p>
    <w:p>
      <w:r>
        <w:rPr>
          <w:i/>
          <w:color w:val="666666"/>
          <w:sz w:val="18"/>
        </w:rPr>
        <w:t>Maier CB et al.  ·  BMJ Open  ·  10.08.2026  ·  PMID 42575558</w:t>
      </w:r>
    </w:p>
    <w:p>
      <w:r>
        <w:t>Mixed-Methods-Studie in 22 deutschen Krankenhäusern mit 1856 Pflegekräften (282 Bachelor-absolventen, 1574 dreijährig ausgebildete), Interviews mit 19 Personen zur Gewinnung und Bindung von BSN-Pflegekräften.</w:t>
      </w:r>
    </w:p>
    <w:p>
      <w:r>
        <w:rPr>
          <w:b/>
        </w:rPr>
        <w:t xml:space="preserve">Ergebnis: </w:t>
      </w:r>
      <w:r>
        <w:t>82,6 % der BSN beurteilten qualifikationsgerechte Bezahlung als hochgradig wichtig (vs. 52,7 % dreijährig Ausgebildete, p&lt;0,001); 63,8 % BSN (vs. 40,1 %, p&lt;0,001) schätzten individuelle Karrierechancen als zentral, 59,9 % (vs. 32,0 %, p&lt;0,001) forderten erweiterte klinische Aufgaben und Unabhängigkeit.</w:t>
      </w:r>
    </w:p>
    <w:p>
      <w:r>
        <w:rPr>
          <w:b/>
          <w:sz w:val="19"/>
        </w:rPr>
        <w:t xml:space="preserve">Übertragbarkeit: </w:t>
      </w:r>
      <w:r>
        <w:rPr>
          <w:sz w:val="19"/>
        </w:rPr>
        <w:t>Deutschland, direkt auf deutsche Krankenhäuser anwendbar</w:t>
      </w:r>
    </w:p>
    <w:p>
      <w:r>
        <w:rPr>
          <w:color w:val="5A7D3A"/>
          <w:sz w:val="18"/>
        </w:rPr>
        <w:t>https://pubmed.ncbi.nlm.nih.gov/42575558/</w:t>
      </w:r>
    </w:p>
    <w:p>
      <w:pPr>
        <w:pStyle w:val="Heading2"/>
      </w:pPr>
      <w:r>
        <w:t>Verbleib von Pflegekräften in Intensivpflege und Langzeitpflege: stabilisierende und destabilisierende Faktoren im Vergleich</w:t>
      </w:r>
    </w:p>
    <w:p>
      <w:r>
        <w:rPr>
          <w:i/>
          <w:color w:val="666666"/>
          <w:sz w:val="18"/>
        </w:rPr>
        <w:t>Lesnik T et al.  ·  J Nurs Manag  ·  2026  ·  PMID 42568162</w:t>
      </w:r>
    </w:p>
    <w:p>
      <w:r>
        <w:t>Qualitative Studie mit 52 Teilnehmern (Pflegemanager und Pflegepersonal) aus 9 Krankenhäusern und 8 Pflegeheimen in Österreich zu Faktoren, die zum Verbleib oder Weggang von Pflegekräften beitragen.</w:t>
      </w:r>
    </w:p>
    <w:p>
      <w:r>
        <w:rPr>
          <w:b/>
        </w:rPr>
        <w:t xml:space="preserve">Ergebnis: </w:t>
      </w:r>
      <w:r>
        <w:t>Stabilisierende Faktoren: fördernde Führung, positive Teamkultur, Autonomie; destabilisierende Faktoren: unangemessene Verantwortungslast, ethische Dilemmas und in Heimen zusätzlich: eingeschränkte Ärzteverfügbarkeit, Untervalourierung, geringe Aufstiegschancen (qualitative Ergebnisse, keine Prozentangaben, aber strukturierter Vergleich ICU vs. LTC).</w:t>
      </w:r>
    </w:p>
    <w:p>
      <w:r>
        <w:rPr>
          <w:b/>
          <w:sz w:val="19"/>
        </w:rPr>
        <w:t xml:space="preserve">Übertragbarkeit: </w:t>
      </w:r>
      <w:r>
        <w:rPr>
          <w:sz w:val="19"/>
        </w:rPr>
        <w:t>Österreich, vergleichbares deutsches Pflegesystem und ähnliche Arbeitsmarktdynamiken</w:t>
      </w:r>
    </w:p>
    <w:p>
      <w:r>
        <w:rPr>
          <w:color w:val="5A7D3A"/>
          <w:sz w:val="18"/>
        </w:rPr>
        <w:t>https://pubmed.ncbi.nlm.nih.gov/42568162/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Pflege und Langzeitversorgung</dc:title>
  <dc:subject/>
  <dc:creator>Monitor Versorgungsforschung</dc:creator>
  <cp:keywords/>
  <dc:description>generated by python-docx</dc:description>
  <cp:lastModifiedBy/>
  <cp:revision>1</cp:revision>
  <dcterms:created xsi:type="dcterms:W3CDTF">2026-08-26T06:00:00Z</dcterms:created>
  <dcterms:modified xsi:type="dcterms:W3CDTF">2026-08-26T06:00:00Z</dcterms:modified>
  <cp:category/>
</cp:coreProperties>
</file>