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25.10.2026  |  6 Studien  |  pflege.m-vf.de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Frailty-Screening mit Prävention reduziert Pflegebedürftigkeit im Alter</w:t>
      </w:r>
    </w:p>
    <w:p>
      <w:r>
        <w:rPr>
          <w:i/>
          <w:color w:val="666666"/>
          <w:sz w:val="18"/>
        </w:rPr>
        <w:t>Soma S et al.  ·  Age Ageing  ·  03.08.2026  ·  PMID 42920343</w:t>
      </w:r>
    </w:p>
    <w:p>
      <w:r>
        <w:t>Studie zur Wirkung eines Screenings auf Gebrechlichkeit mit anschließender Gesundheitsberatung auf die Rate von Pflegegrad-Zertifizierungen bei über 75-Jährigen in Japan.</w:t>
      </w:r>
    </w:p>
    <w:p>
      <w:r>
        <w:rPr>
          <w:b/>
        </w:rPr>
        <w:t xml:space="preserve">Ergebnis: </w:t>
      </w:r>
      <w:r>
        <w:t>Nach Einführung des Screening-basierten Interventionsprogramms sank die monatliche Quote der Pflegezertifizierungen in der Altersgruppe ≥75 Jahre um 6,8 % (95%-CI: 4,4–10,0 %) gegenüber dem projizierten Trend ohne Intervention. Die annualisierte Trendänderung zeigte ein Hazard Ratio von 0,974 (95%-CI: 0,963–0,983).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mit Pflegezertifizierungssystem vergleichbar zur Erfassung von Pflegebedürftigkeit; kommunales Ansatzmodell übertragbar.</w:t>
      </w:r>
    </w:p>
    <w:p>
      <w:r>
        <w:rPr>
          <w:color w:val="5A7D3A"/>
          <w:sz w:val="18"/>
        </w:rPr>
        <w:t>https://pubmed.ncbi.nlm.nih.gov/42920343/</w:t>
      </w:r>
    </w:p>
    <w:p>
      <w:pPr>
        <w:pStyle w:val="Heading2"/>
      </w:pPr>
      <w:r>
        <w:t>CFTR-Modulatoren senken Belastung und Arbeitsausfälle pflegender Angehöriger</w:t>
      </w:r>
    </w:p>
    <w:p>
      <w:r>
        <w:rPr>
          <w:i/>
          <w:color w:val="666666"/>
          <w:sz w:val="18"/>
        </w:rPr>
        <w:t>Oliveira VDGSB et al.  ·  Orphanet J Rare Dis  ·  23.07.2026  ·  PMID 42920171</w:t>
      </w:r>
    </w:p>
    <w:p>
      <w:r>
        <w:t>Querschnittsstudie mit 174 primären Pflegepersonen (90,2 % Mütter) von Mukoviszidose-Patienten in Brasilien, vergleichend für Nutzer und Nicht-Nutzer von Elexacaftor/Tezacaftor/Ivacaftor (ETI).</w:t>
      </w:r>
    </w:p>
    <w:p>
      <w:r>
        <w:rPr>
          <w:b/>
        </w:rPr>
        <w:t xml:space="preserve">Ergebnis: </w:t>
      </w:r>
      <w:r>
        <w:t>Pflegepersonen von Nicht-Modulatoren-Nutzern investierten täglich signifikant mehr Zeit (300 Min. [IQR: 180–300] vs. 180 Min. [IQR: 90–240]; p=0,002) und hatten häufigere Arztkontakte (p=0,003). Zarit Burden Interview-12: höhere Scores in der Nicht-Modulatoren-Gruppe (20,0 [IQR: 16,0–25,2] vs. 15,5 [IQR: 11,2–23,0]; p=0,006); bei Kindern unter 5 Jahren noch ausgeprägter (20,0 vs. 14,0; p=0,003). Absenteeismus (15,8 % vs. 0,0 %; p=0,034), Präsentismus (50,0 % vs. 20,0 %; p=0,048) und Aktivitätsbeeinträchtigung (50,0 % vs. 30,0 %; p=0,011) signifikant höher ohne Modulatoren.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aber Mechanismus der Entlastung durch bessere Gesundheit des Patienten übergeordnet übertragbar.</w:t>
      </w:r>
    </w:p>
    <w:p>
      <w:r>
        <w:rPr>
          <w:color w:val="5A7D3A"/>
          <w:sz w:val="18"/>
        </w:rPr>
        <w:t>https://pubmed.ncbi.nlm.nih.gov/42920171/</w:t>
      </w:r>
    </w:p>
    <w:p>
      <w:pPr>
        <w:pStyle w:val="Heading2"/>
      </w:pPr>
      <w:r>
        <w:t>Unterstützungsbedarf pflegender Angehöriger von Myeloma-Patienten: massive Versorgungslücken</w:t>
      </w:r>
    </w:p>
    <w:p>
      <w:r>
        <w:rPr>
          <w:i/>
          <w:color w:val="666666"/>
          <w:sz w:val="18"/>
        </w:rPr>
        <w:t>Lin Y et al.  ·  BMC Palliat Care  ·  29.08.2026  ·  PMID 42920119</w:t>
      </w:r>
    </w:p>
    <w:p>
      <w:r>
        <w:t>Querschnittsstudie mit 227 pflegenden Angehörigen von Myeloma-Patienten in Südostchina zur Erfassung von Unterstützungsbedarfen und wahrgenommener Verfügbarkeit von Hilfsangeboten.</w:t>
      </w:r>
    </w:p>
    <w:p>
      <w:r>
        <w:rPr>
          <w:b/>
        </w:rPr>
        <w:t xml:space="preserve">Ergebnis: </w:t>
      </w:r>
      <w:r>
        <w:t>Höchster Bedarf bestand für Krankheitsinformation (90,04 %), niedrigste wahrgenommene Versorgung für psychosoziale Ressourcen (50,05 %). In den Top-10 unerfüllter Bedürfnisse: vier Items zu psychosozialen Ressourcen, drei zu Pflegefähigkeiten, zwei zu medizinischen Diensten, eines zu Krankheitsinformation. Ehegatten, Personen mit Vorpflegeerfahrung und die, die auch Kinder betreuen, hatten signifikant höhere Bedarfswerte.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Bedarfsstruktur pflegender Angehöriger übergeordnet vergleichbar.</w:t>
      </w:r>
    </w:p>
    <w:p>
      <w:r>
        <w:rPr>
          <w:color w:val="5A7D3A"/>
          <w:sz w:val="18"/>
        </w:rPr>
        <w:t>https://pubmed.ncbi.nlm.nih.gov/42920119/</w:t>
      </w:r>
    </w:p>
    <w:p>
      <w:pPr>
        <w:pStyle w:val="Heading2"/>
      </w:pPr>
      <w:r>
        <w:t>Vergebungs-Psychoedukation reduziert Todesangst und Pflegebelastung am Lebensende</w:t>
      </w:r>
    </w:p>
    <w:p>
      <w:r>
        <w:rPr>
          <w:i/>
          <w:color w:val="666666"/>
          <w:sz w:val="18"/>
        </w:rPr>
        <w:t>Cancer Nurs  ·  21.10.2026  ·  PMID 42919807</w:t>
      </w:r>
    </w:p>
    <w:p>
      <w:r>
        <w:t>Randomisierte kontrollierte Studie zur Wirkung einer Psychoedukationsintervention zum Thema Vergebung auf Todesangst, Pflegebelastung und Vergebungsneigung bei 56 Pflegepersonen von Sterbenden (Interventionsgruppe n=28, Kontrollgruppe n=28).</w:t>
      </w:r>
    </w:p>
    <w:p>
      <w:r>
        <w:rPr>
          <w:b/>
        </w:rPr>
        <w:t xml:space="preserve">Ergebnis: </w:t>
      </w:r>
      <w:r>
        <w:t>Die durchschnittlichen Scores für Todesangst und Pflegebelastung in Post-Test und Verlaufsmessungen (1 und 3 Monate) der Interventionsgruppe waren statistisch signifikant niedriger als in der Kontrollgruppe (p&lt;0,05). Die Intervention zeigte anhaltende Effekte über alle Follow-up-Zeitpunkte.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Ursprungsland nicht genannt; aber Intervention psychoedukativer Art mit allgemeinen Anwendbarkeitsprinzipien.</w:t>
      </w:r>
    </w:p>
    <w:p>
      <w:r>
        <w:rPr>
          <w:color w:val="5A7D3A"/>
          <w:sz w:val="18"/>
        </w:rPr>
        <w:t>https://pubmed.ncbi.nlm.nih.gov/42919807/</w:t>
      </w:r>
    </w:p>
    <w:p>
      <w:pPr>
        <w:pStyle w:val="Heading2"/>
      </w:pPr>
      <w:r>
        <w:t>Advanced Practice Nursing in Deutschland und Brasilien: regulatorische Hürden, Akademisierungswege</w:t>
      </w:r>
    </w:p>
    <w:p>
      <w:r>
        <w:rPr>
          <w:i/>
          <w:color w:val="666666"/>
          <w:sz w:val="18"/>
        </w:rPr>
        <w:t>Bula DA et al.  ·  Rev Bras Enferm  ·  16.10.2026  ·  PMID 42912127</w:t>
      </w:r>
    </w:p>
    <w:p>
      <w:r>
        <w:t>Qualitative Vergleichsstudie durch Analyse von Strategiedokumenten und Sekundärdaten zu Bedingungen der Advanced Practice Nursing Entwicklung in der Primärversorgung in Brasilien und Deutschland.</w:t>
      </w:r>
    </w:p>
    <w:p>
      <w:r>
        <w:rPr>
          <w:b/>
        </w:rPr>
        <w:t xml:space="preserve">Ergebnis: </w:t>
      </w:r>
      <w:r>
        <w:t>Brasilien: langjährige akademische Pflegeausbildung und etablierte Verantwortungen unterstützen Advanced Practice Nursing, aber Regulierungslücken bleiben Barriere. Deutschland: Entwicklung reflektiert berufsständische Pflegetradition und rezente Akademisierungsbewegung mit wenigen AP-Masterstudiengängen; ärztezentriertes Modell der Primärversorgung und unzureichende Rechtsgrundlagen hemmen Umsetzung trotz wachsenden politischen Moments. Schlussfolgerung: Entwicklung ist kontext- und landspezifisch; effektive Implementierung erfordert Alignment mit Institutionen, Ausbildungswegen und Berufsrollen.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direkter Vergleich mit Brasilien; illustriert strukturelle und regulatorische Barrieren im deutschen System.</w:t>
      </w:r>
    </w:p>
    <w:p>
      <w:r>
        <w:rPr>
          <w:color w:val="5A7D3A"/>
          <w:sz w:val="18"/>
        </w:rPr>
        <w:t>https://pubmed.ncbi.nlm.nih.gov/42912127/</w:t>
      </w:r>
    </w:p>
    <w:p>
      <w:pPr>
        <w:pStyle w:val="Heading2"/>
      </w:pPr>
      <w:r>
        <w:t>Infektionsprävention in Pflegeheimen: standardisierte Verfahren verbessern Compliance</w:t>
      </w:r>
    </w:p>
    <w:p>
      <w:r>
        <w:rPr>
          <w:i/>
          <w:color w:val="666666"/>
          <w:sz w:val="18"/>
        </w:rPr>
        <w:t>Bordino V et al.  ·  Antimicrob Resist Infect Control  ·  25.07.2026  ·  PMID 42907937</w:t>
      </w:r>
    </w:p>
    <w:p>
      <w:r>
        <w:t>Zwei regionale Befragungen in italienischen Pflegeheimen (2021–2022 und 2024) zur Verfügbarkeit, Annahme und Nützlichkeit standardisierter Infektionspräventions-Verfahrensdokumente.</w:t>
      </w:r>
    </w:p>
    <w:p>
      <w:r>
        <w:rPr>
          <w:b/>
        </w:rPr>
        <w:t xml:space="preserve">Ergebnis: </w:t>
      </w:r>
      <w:r>
        <w:t>In der ersten Befragung (n=436 Heime, 55,9 % Response): hohe Verfügbarkeit schriftlicher Verfahren für Handhygiene (99,1 %), COVID-19-Isolation (99,8 %) und Reinigung (98,9 %); niedrig für Sterilisation (46,2 %), Bloodstream-Infektionsprävention (45,9 %) und Management colonisierter Patienten (62,0 %). Nach Verbreitung standardisierter Verfahren (2023) gaben 99,7 % der 305 teilnehmenden Heime (39,1 %) an, diese als angemessen zu befinden; 89 % urteilten insgesamt positiv.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Gesundheitssystem; strukturierte regionale Ressourcen als Governance-Element.</w:t>
      </w:r>
    </w:p>
    <w:p>
      <w:r>
        <w:rPr>
          <w:color w:val="5A7D3A"/>
          <w:sz w:val="18"/>
        </w:rPr>
        <w:t>https://pubmed.ncbi.nlm.nih.gov/42907937/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