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31.08.2026  |  6 Studien  |  pflege.m-vf.de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Verwaltungsaufwand und unterlassene Pflege: Was Arbeitsbelastung im Krankenhaus bewirkt</w:t>
      </w:r>
    </w:p>
    <w:p>
      <w:r>
        <w:rPr>
          <w:i/>
          <w:color w:val="666666"/>
          <w:sz w:val="18"/>
        </w:rPr>
        <w:t>Paquay M et al.  ·  J Nurs Manag  ·  2026  ·  PMID 42668451</w:t>
      </w:r>
    </w:p>
    <w:p>
      <w:r>
        <w:t>Querschnittsstudie mit 3.613 Krankenhausfachkräften und Pflegemanagern in Belgien (Sept.–Okt. 2024) zu Zusammenhang zwischen Verwaltungsaufwand, Health Technology Zufriedenheit, Arbeitsunzufriedenheit und dokumentierter unterlassener Pflege.</w:t>
      </w:r>
    </w:p>
    <w:p>
      <w:r>
        <w:rPr>
          <w:b/>
        </w:rPr>
        <w:t xml:space="preserve">Ergebnis: </w:t>
      </w:r>
      <w:r>
        <w:t>Personal gab einen medianen Anteil von 18 % je Schicht für administrative und logistische Aufgaben an (Fachkräfte 20 %, Manager 10 %, p &lt; 0,001). 71,7 % waren insgesamt mit ihrem Job zufrieden, aber 72,1 % berichteten mindestens eine unterlassene Pflegeleistung. Höhere administrative Belastung korrelierte mit erhöhten Odds für Jobunzufriedenheit (ORa = 1,15 [95%-KI 1,10–1,20]) und mehr unterlassener Pflege (IRRa = 1,12 [1,04–1,20]). Unbefriedigtheit mit Health-Technologien zeigte ähnliche Muster (Jobunzufriedenheit ORa = 1,30 [1,07–1,58], unterlassene Pflege IRRa = 1,17 [1,10–1,24]).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mit vergleichbarem System, Datenqualität aus vollständiger Befragung</w:t>
      </w:r>
    </w:p>
    <w:p>
      <w:r>
        <w:rPr>
          <w:color w:val="5A7D3A"/>
          <w:sz w:val="18"/>
        </w:rPr>
        <w:t>https://pubmed.ncbi.nlm.nih.gov/42668451/</w:t>
      </w:r>
    </w:p>
    <w:p>
      <w:pPr>
        <w:pStyle w:val="Heading2"/>
      </w:pPr>
      <w:r>
        <w:t>Unerfüllte Bedarfe für proaktives Gesundheitsmanagement in chinesischen Langzeitpflegeeinrichtungen</w:t>
      </w:r>
    </w:p>
    <w:p>
      <w:r>
        <w:rPr>
          <w:i/>
          <w:color w:val="666666"/>
          <w:sz w:val="18"/>
        </w:rPr>
        <w:t>Wang Y et al.  ·  Front Public Health  ·  14.08.2026  ·  PMID 42666148</w:t>
      </w:r>
    </w:p>
    <w:p>
      <w:r>
        <w:t>Qualitative Studie mit 15 älteren Bewohnern mit Funktionseinschränkungen und 13 Pflegefachleuten in einer Langzeitpflegeeinrichtung in Chongqing (Juli–Sept. 2025) zu unerfüllten Bedürfnissen proaktiver Gesundheitsdienste.</w:t>
      </w:r>
    </w:p>
    <w:p>
      <w:r>
        <w:rPr>
          <w:b/>
        </w:rPr>
        <w:t xml:space="preserve">Ergebnis: </w:t>
      </w:r>
      <w:r>
        <w:t>Vier zusammenhängende Hauptthemen: Autonomie und Gesundheitsentscheidungsbeteiligung, Verbesserung der Gesundheitskompetenz und kognitiven Befähigung, psychologische Motivation und soziale Verbundenheit, strukturelle Gesundheitsförderungsressourcen und Dienstsysteme. Kernaussage: Übergang von passiver kompensierender Pflege zu proaktivem Gesundheitsmanagement erfordert dreidimensionales Befähigungssystem (Individuum–Institution–Gesellschaft) mit Autonomie, Bildung, sozialen Netzwerken und integrierten Dienstketten.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Langzeitpflege; qualitativ mit klarem Maßnahmerahmen für ähnliche Systeme</w:t>
      </w:r>
    </w:p>
    <w:p>
      <w:r>
        <w:rPr>
          <w:color w:val="5A7D3A"/>
          <w:sz w:val="18"/>
        </w:rPr>
        <w:t>https://pubmed.ncbi.nlm.nih.gov/42666148/</w:t>
      </w:r>
    </w:p>
    <w:p>
      <w:pPr>
        <w:pStyle w:val="Heading2"/>
      </w:pPr>
      <w:r>
        <w:t>Arzneimittelnebenwirkungsberichte von Gesundheitsfachleuten: Lücken zwischen Wissen und Meldeverhalten</w:t>
      </w:r>
    </w:p>
    <w:p>
      <w:r>
        <w:rPr>
          <w:i/>
          <w:color w:val="666666"/>
          <w:sz w:val="18"/>
        </w:rPr>
        <w:t>Silagadze N et al.  ·  BMC Health Serv Res  ·  22.07.2026  ·  PMID 42665790</w:t>
      </w:r>
    </w:p>
    <w:p>
      <w:r>
        <w:t>Querschnittsstudie in Georgien (April 2023–Juni 2024) mit 342 Ärzten und 342 Pflegefachleuten zu Wissen, Haltungen und Meldepraktiken bei Arzneimittelnebenwirkungen.</w:t>
      </w:r>
    </w:p>
    <w:p>
      <w:r>
        <w:rPr>
          <w:b/>
        </w:rPr>
        <w:t xml:space="preserve">Ergebnis: </w:t>
      </w:r>
      <w:r>
        <w:t>76,3 % der Befragten erlebten Nebenwirkungen in ihrer Praxis, aber nur 12,95 % meldeten diese. Keine der Pflegefachleute und nur 10,2 % der Ärzte nutzten das offizielle Meldungsformular. Hauptbarrieren waren Mangel an Bewusstsein für das nationale Meldesystem (91,7 %), Unsicherheit über den Prozess (76,9 %) und Unterschätzung der Schwere (40,8 %). Ärzte hatten höhere Wissenswerte als Pflegefachleute (19 vs. 16; p &lt; 0,001), Pflegefachleute aber positivere Einstellung (6 vs. 5,6;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Gering: Georgien – Befund zeigt aber generische Lücke zwischen Erlebnis und Meldebereitschaft</w:t>
      </w:r>
    </w:p>
    <w:p>
      <w:r>
        <w:rPr>
          <w:color w:val="5A7D3A"/>
          <w:sz w:val="18"/>
        </w:rPr>
        <w:t>https://pubmed.ncbi.nlm.nih.gov/42665790/</w:t>
      </w:r>
    </w:p>
    <w:p>
      <w:pPr>
        <w:pStyle w:val="Heading2"/>
      </w:pPr>
      <w:r>
        <w:t>Forschungskompetenz bei Pflegefachkräften in der Intensivmedizin: Barrieren und Chancen</w:t>
      </w:r>
    </w:p>
    <w:p>
      <w:r>
        <w:rPr>
          <w:i/>
          <w:color w:val="666666"/>
          <w:sz w:val="18"/>
        </w:rPr>
        <w:t>Batalla MGAP et al.  ·  Nurs Crit Care  ·  Sept. 2026  ·  PMID 42661391</w:t>
      </w:r>
    </w:p>
    <w:p>
      <w:r>
        <w:t>Gemischte Studie (Umfrage und Fokusgruppen) mit britischen Intensivpflegefachkräften zu Selbsteinschätzung ihrer Forschungskompetenz, organisatorischen Barrieren und Rolle der Forschungsverbindungsfachkraft.</w:t>
      </w:r>
    </w:p>
    <w:p>
      <w:r>
        <w:rPr>
          <w:b/>
        </w:rPr>
        <w:t xml:space="preserve">Ergebnis: </w:t>
      </w:r>
      <w:r>
        <w:t>Pflegefachkräfte zeigten moderate Vertrautheit mit Forschungskompetenzen. Thematische Analyse der Fokusgruppen hob organisatorische Barrieren und die Rolle der Research-Link-Nurse als Schlüsselfaktoren hervor, um Vertrauen in Forschungsaktivitäten zu stärken. Keine genauen Zahlenangaben zu Kompetenzausprägungen im Abstract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UK-Klinikkontext, organisatorische Befunde ggf. teilweise übertragbar</w:t>
      </w:r>
    </w:p>
    <w:p>
      <w:r>
        <w:rPr>
          <w:color w:val="5A7D3A"/>
          <w:sz w:val="18"/>
        </w:rPr>
        <w:t>https://pubmed.ncbi.nlm.nih.gov/42661391/</w:t>
      </w:r>
    </w:p>
    <w:p>
      <w:pPr>
        <w:pStyle w:val="Heading2"/>
      </w:pPr>
      <w:r>
        <w:t>Belastung von Angehörigen schwerverletzter Patienten: Psychische Folgen und Unterstützungsbedarf</w:t>
      </w:r>
    </w:p>
    <w:p>
      <w:r>
        <w:rPr>
          <w:i/>
          <w:color w:val="666666"/>
          <w:sz w:val="18"/>
        </w:rPr>
        <w:t>Van Ditshuizen JC et al.  ·  Eur J Trauma Emerg Surg  ·  24.08.2026  ·  PMID 42635672</w:t>
      </w:r>
    </w:p>
    <w:p>
      <w:r>
        <w:t>Systematischer Review europäischer Studien (2000–2025) zu patientenberichteten Ergebnissen durch Angehörige (SOROMs) bei schwerverletzten Patienten, davon 90 % mit traumatischer Hirnverletzung.</w:t>
      </w:r>
    </w:p>
    <w:p>
      <w:r>
        <w:rPr>
          <w:b/>
        </w:rPr>
        <w:t xml:space="preserve">Ergebnis: </w:t>
      </w:r>
      <w:r>
        <w:t>30 Studien eingeschlossen, überwiegend aus West- und Nordeuropa. 67 % der Studien (n=20) zeigten subakute und langfristige Reduktion der gesundheitsbezogenen Lebensqualität von Angehörigen mit hoher Prävalenz (28–56 %) depressiver, Angst- und Stresssymptome. 53 % (n=16) berichteten etwa 50 % unerfüllter Familienbedarfe (Information, emotionale Unterstützung) und disproportionale Pflegelast verbunden mit Einsamkeit und Lebenszufriedenheit. Ergebnisse von Angehörigen und Patienten liefen parallel und waren mit Bewältigungsstrategien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Daten, Thema pflegerelevant für Angehörigenentlastung</w:t>
      </w:r>
    </w:p>
    <w:p>
      <w:r>
        <w:rPr>
          <w:color w:val="5A7D3A"/>
          <w:sz w:val="18"/>
        </w:rPr>
        <w:t>https://pubmed.ncbi.nlm.nih.gov/42635672/</w:t>
      </w:r>
    </w:p>
    <w:p>
      <w:pPr>
        <w:pStyle w:val="Heading2"/>
      </w:pPr>
      <w:r>
        <w:t>Persönliche und organisatorische Faktoren bei Pflegediagnosen: Clusteranalyse und Maßnahmenpotenzial</w:t>
      </w:r>
    </w:p>
    <w:p>
      <w:r>
        <w:rPr>
          <w:i/>
          <w:color w:val="666666"/>
          <w:sz w:val="18"/>
        </w:rPr>
        <w:t>Bozzetti M et al.  ·  Int J Nurs Knowl  ·  24.08.2026  ·  PMID 42635540</w:t>
      </w:r>
    </w:p>
    <w:p>
      <w:r>
        <w:t>Querschnittsstudie mit 444 Pflegefachkräften aus zwei italienischen Krankenhäusern (2024) zu Überzeugungen und Umgebungsfaktoren bei Einsatz von Pflegediagnosen mittels Clusteranalyse.</w:t>
      </w:r>
    </w:p>
    <w:p>
      <w:r>
        <w:rPr>
          <w:b/>
        </w:rPr>
        <w:t xml:space="preserve">Ergebnis: </w:t>
      </w:r>
      <w:r>
        <w:t>85,36 % weiblich, mittleres Alter 40,1 Jahre. Clusteranalyse identifizierte drei Gruppen: 37,4 % positive Überzeugungen, 48,6 % neutrale und 14 % negative Überzeugungen. Pflegefachkräfte in der positiven Gruppe zeigten stärkere klinische Reasoning-Kompetenzen und günstigere Wahrnehmung der Arbeitsumgebung. Signifikante Unterschiede zwischen Clustern bei Arbeitsumgebungssubskalen und Verhaltensüberzeugungen. Empfehlung: maßgeschneiderte Strategien zur Verbesserung des klinischen Reasoning und der Arbeitsumgebung.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Europa; Clustermethode auf andere Länder übertragbar</w:t>
      </w:r>
    </w:p>
    <w:p>
      <w:r>
        <w:rPr>
          <w:color w:val="5A7D3A"/>
          <w:sz w:val="18"/>
        </w:rPr>
        <w:t>https://pubmed.ncbi.nlm.nih.gov/42635540/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2026-08-31T06:00:00Z</dcterms:created>
  <dcterms:modified xsi:type="dcterms:W3CDTF">2026-08-31T06:00:00Z</dcterms:modified>
  <cp:category/>
</cp:coreProperties>
</file>