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06.10.2026  |  6 Studien  |  pflege.m-vf.de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Palliativversorgung in Pflegeheimen: Ärzte sehen große Verbesserungspotenziale</w:t>
      </w:r>
    </w:p>
    <w:p>
      <w:r>
        <w:rPr>
          <w:i/>
          <w:color w:val="666666"/>
          <w:sz w:val="18"/>
        </w:rPr>
        <w:t>Sandsdalen T et al.  ·  Scand J Prim Health Care  ·  05.10.2026  ·  PMID 42834000</w:t>
      </w:r>
    </w:p>
    <w:p>
      <w:r>
        <w:t>Ärzte in norwegischen Pflegeheimen bewerteten die Qualität der Palliativversorgung anhand eines standardisierten Instruments in einer Querschnittsbefragung.</w:t>
      </w:r>
    </w:p>
    <w:p>
      <w:r>
        <w:rPr>
          <w:b/>
        </w:rPr>
        <w:t xml:space="preserve">Ergebnis: </w:t>
      </w:r>
      <w:r>
        <w:t>Ärzte erkannten bedeutsame Lücken zwischen der wahrgenommenen Wichtigkeit und der tatsächlichen Versorgungsqualität in zwei Dimensionen (medizinisch-technische Kompetenz, soziokulturelle Atmosphäre) und bei 9 von 24 Items. Verbesserungsbedarf wurde besonders in Bereichen Schmerzlinderung, Depressionen, Angst, existenzielle Betreuung, Kontinuität und Individualisierung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ähnliche Sozialversicherung wie Deutschland, steuerbasierte Finanzierung unterscheidet sich jedoch</w:t>
      </w:r>
    </w:p>
    <w:p>
      <w:r>
        <w:rPr>
          <w:color w:val="5A7D3A"/>
          <w:sz w:val="18"/>
        </w:rPr>
        <w:t>https://pubmed.ncbi.nlm.nih.gov/42834000/</w:t>
      </w:r>
    </w:p>
    <w:p>
      <w:pPr>
        <w:pStyle w:val="Heading2"/>
      </w:pPr>
      <w:r>
        <w:t>Pflegende Angehörige mit Krebsdiagnose: zusätzliche Belastung bei Demenzbetreuung</w:t>
      </w:r>
    </w:p>
    <w:p>
      <w:r>
        <w:rPr>
          <w:i/>
          <w:color w:val="666666"/>
          <w:sz w:val="18"/>
        </w:rPr>
        <w:t>Travis E et al.  ·  JMIR Cancer  ·  05.10.2026  ·  PMID 42832693</w:t>
      </w:r>
    </w:p>
    <w:p>
      <w:r>
        <w:t>Qualitative Interviews mit 25 britischen familiären Pflegepersonen, die gleichzeitig eine Krebsdiagnose erhalten hatten und jemanden mit Demenz betreuten.</w:t>
      </w:r>
    </w:p>
    <w:p>
      <w:r>
        <w:rPr>
          <w:b/>
        </w:rPr>
        <w:t xml:space="preserve">Ergebnis: </w:t>
      </w:r>
      <w:r>
        <w:t>Drei Kernthemen: Pflegeverantwortungen erschweren und überlagern Krebsbehandlung; Demenzbetreuung intensiviert krebsbezogene Belastung und Angst; erhöhter Unterstützungsbedarf mit Gefühlen von Trauer um den Angehörigen und Sorgen um zukünftige Betreuung. Multidimensionale soziale Unterstützung wurde als wesentlich für Zugang zu und Bewältigung von Krebsbehandlung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strukturelle und psychosoziale Befunde zu Belastung übertragbar auf Deutschland</w:t>
      </w:r>
    </w:p>
    <w:p>
      <w:r>
        <w:rPr>
          <w:color w:val="5A7D3A"/>
          <w:sz w:val="18"/>
        </w:rPr>
        <w:t>https://pubmed.ncbi.nlm.nih.gov/42832693/</w:t>
      </w:r>
    </w:p>
    <w:p>
      <w:pPr>
        <w:pStyle w:val="Heading2"/>
      </w:pPr>
      <w:r>
        <w:t>Burnout-Profile bei chinesischen Pflegekräften: Netzwerkanalyse von Stress und Resilienz</w:t>
      </w:r>
    </w:p>
    <w:p>
      <w:r>
        <w:rPr>
          <w:i/>
          <w:color w:val="666666"/>
          <w:sz w:val="18"/>
        </w:rPr>
        <w:t>Wang D et al.  ·  J Nurs Manag  ·  2026  ·  PMID 42831383</w:t>
      </w:r>
    </w:p>
    <w:p>
      <w:r>
        <w:t>Querschnittsbefragung von 1.133 chinesischen Pflegekräften mit Latent-Class-Analyse zur Burnout-Heterogenität und Netzwerkanalyse zu psychologischen und beruflichen Faktoren.</w:t>
      </w:r>
    </w:p>
    <w:p>
      <w:r>
        <w:rPr>
          <w:b/>
        </w:rPr>
        <w:t xml:space="preserve">Ergebnis: </w:t>
      </w:r>
      <w:r>
        <w:t>Drei Burnout-Klassen: milde (37,21%), hohe emotionale Erschöpfung (47,49%), niedrige persönliche Leistung (15,30%). Durch Netzwerkanalyse als zentrale Faktoren identifiziert: wahrgenommener Stress (besonders Item "Schwierigkeiten häufen sich", "Bewältigung") und psychologische Resilienz zeigten stärkste negative Konnektionen. Weibliche Pflegende und solche mit höherer Resilienz hatten niedrigeres Risiko für hohe emotionale Erschöpfung.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Arbeitsstrukturen unterscheiden sich; Befunde zu Resilienz-Stress-Netzwerk konzeptionell auf deutsche Kontexte anwendbar</w:t>
      </w:r>
    </w:p>
    <w:p>
      <w:r>
        <w:rPr>
          <w:color w:val="5A7D3A"/>
          <w:sz w:val="18"/>
        </w:rPr>
        <w:t>https://pubmed.ncbi.nlm.nih.gov/42831383/</w:t>
      </w:r>
    </w:p>
    <w:p>
      <w:pPr>
        <w:pStyle w:val="Heading2"/>
      </w:pPr>
      <w:r>
        <w:t>Demenzschulung für Heimhilfen: Kosten-Folgen-Analyse einer gestuften Cluster-Studie</w:t>
      </w:r>
    </w:p>
    <w:p>
      <w:r>
        <w:rPr>
          <w:i/>
          <w:color w:val="666666"/>
          <w:sz w:val="18"/>
        </w:rPr>
        <w:t>Belay YB et al.  ·  Australas J Ageing  ·  Dez. 2026  ·  PMID 42831295</w:t>
      </w:r>
    </w:p>
    <w:p>
      <w:r>
        <w:t>Health-Economic-Analyse der PITCH-Intervention (Demenzspezial-Training für Heimhelfer) in Australien mittels gestuftem Cluster-RCT mit Kostenmessung und sekundären Outcomes zu Lebensqualität und Belastung.</w:t>
      </w:r>
    </w:p>
    <w:p>
      <w:r>
        <w:rPr>
          <w:b/>
        </w:rPr>
        <w:t xml:space="preserve">Ergebnis: </w:t>
      </w:r>
      <w:r>
        <w:t>Interventionskosten stiegen von AU$68.925 (Kontrollphase) auf AU$133.660 (Interventionsphase), adjustierte Differenz AU$67.146 (95% CI: 16.957–117.334). Keine signifikanten Verbesserungen bei Klienten-Lebensqualität (DEMQOL-U fiel), Betreuerlast oder dyadische Interaktion während Interventionsphase. Verbesserungen in Betreuerlast und Interaktion waren numerisch aber nicht statistisch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Privatversichert mit Teilkasko-Elementen; ökonomische Methodik übertragbar, Kostenwirkungen aber nicht direkt</w:t>
      </w:r>
    </w:p>
    <w:p>
      <w:r>
        <w:rPr>
          <w:color w:val="5A7D3A"/>
          <w:sz w:val="18"/>
        </w:rPr>
        <w:t>https://pubmed.ncbi.nlm.nih.gov/42831295/</w:t>
      </w:r>
    </w:p>
    <w:p>
      <w:pPr>
        <w:pStyle w:val="Heading2"/>
      </w:pPr>
      <w:r>
        <w:t>Ernährungstherapie bei älteren Krebspatientinnen: Versicherungsdesign und Langzeitpflege</w:t>
      </w:r>
    </w:p>
    <w:p>
      <w:r>
        <w:rPr>
          <w:i/>
          <w:color w:val="666666"/>
          <w:sz w:val="18"/>
        </w:rPr>
        <w:t>Yang J  ·  Front Public Health  ·  18.09.2026  ·  PMID 42827769</w:t>
      </w:r>
    </w:p>
    <w:p>
      <w:r>
        <w:t>Narrative Review zu Zugangsbarrieren für Ernährungstherapie (MNT) bei älteren Frauen mit Krebs in drei Ländern mit Fokus auf Versicherungsschutz und Kontinuität zwischen Krankenhaus und Langzeitpflege.</w:t>
      </w:r>
    </w:p>
    <w:p>
      <w:r>
        <w:rPr>
          <w:b/>
        </w:rPr>
        <w:t xml:space="preserve">Ergebnis: </w:t>
      </w:r>
      <w:r>
        <w:t>Eligibilitätsbeschränkungen, Kostenbeihilfe, unzureichendes Netzwerk von Diätfachpersonen und Fragmentierung zwischen Krankenhaus, Heim und häuslicher Pflege führen zu verspäteter Behandlung. Empfehlung: MNT als wesentliche, risikogestaffelte Komponente der Onkologie und Langzeitpflege mit Finanzierung basierend auf validiertem Screening, Dietitian-geführter Versorgung und Kontinuität über Übergänge.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Konzeptionell relevant für deutsche Langzeitpflege; Versicherungsdesign (Teilkasko vs. steuerbasiert) unterscheidet sich fundamental</w:t>
      </w:r>
    </w:p>
    <w:p>
      <w:r>
        <w:rPr>
          <w:color w:val="5A7D3A"/>
          <w:sz w:val="18"/>
        </w:rPr>
        <w:t>https://pubmed.ncbi.nlm.nih.gov/42827769/</w:t>
      </w:r>
    </w:p>
    <w:p>
      <w:pPr>
        <w:pStyle w:val="Heading2"/>
      </w:pPr>
      <w:r>
        <w:t>Schichtarbeit bei Pflegenden: Häufigeres Snacking bei Nachtschichten</w:t>
      </w:r>
    </w:p>
    <w:p>
      <w:r>
        <w:rPr>
          <w:i/>
          <w:color w:val="666666"/>
          <w:sz w:val="18"/>
        </w:rPr>
        <w:t>Chang YC et al.  ·  Nurs Open  ·  Okt. 2026  ·  PMID 42817060</w:t>
      </w:r>
    </w:p>
    <w:p>
      <w:r>
        <w:t>Querschnittsstudie zu Unterschieden im Essverhalten zwischen Pflegenden mit und ohne Nachtschichten über soziale Medien rekrutiert.</w:t>
      </w:r>
    </w:p>
    <w:p>
      <w:r>
        <w:rPr>
          <w:b/>
        </w:rPr>
        <w:t xml:space="preserve">Ergebnis: </w:t>
      </w:r>
      <w:r>
        <w:t>Von 408 italienischen Pflegenden arbeiteten 73,3% auch Nachtschichten. Nachtschicht-Pflegende zeigten signifikant häufigeres Snacking zwischen Mahlzeiten (49,8% vs. 22,3%; p=0,002) und kürzere Berufserfahrung (25,7% mit &lt;5 Jahren bei Nachtschicht vs. 8,1% bei Tagschicht;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Arbeitsstrukturen; Befund zu Schichteffekten auf Ernährung übertragbar</w:t>
      </w:r>
    </w:p>
    <w:p>
      <w:r>
        <w:rPr>
          <w:color w:val="5A7D3A"/>
          <w:sz w:val="18"/>
        </w:rPr>
        <w:t>https://pubmed.ncbi.nlm.nih.gov/42817060/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