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15.09.2026  |  6 Studien  |  pflege.m-vf.de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Persönlich bedeutsame Ziele bei Demenzunterstützung: Ist Goal Attainment Scaling tauglich für Studien</w:t>
      </w:r>
    </w:p>
    <w:p>
      <w:r>
        <w:rPr>
          <w:i/>
          <w:color w:val="666666"/>
          <w:sz w:val="18"/>
        </w:rPr>
        <w:t>Budgett J et al.  ·  Age Ageing  ·  04.09.2026  ·  PMID 42735391</w:t>
      </w:r>
    </w:p>
    <w:p>
      <w:r>
        <w:t>Psychometrische Überprüfung von Goal Attainment Scaling (GAS) als Ergebniskriterium in einer RCT zu psychosozialer Unterstützung für Menschen mit Demenz und pflegende Angehörige.</w:t>
      </w:r>
    </w:p>
    <w:p>
      <w:r>
        <w:rPr>
          <w:b/>
        </w:rPr>
        <w:t xml:space="preserve">Ergebnis: </w:t>
      </w:r>
      <w:r>
        <w:t>GAS-Completion 86% (6 Monate), 82% (12 Monate); exzellente Inter-Rater-Reliabilität (ICC=0,99), hohe Intra-Rater-Reliabilität (Cohens κ=0,91); schwache aber signifikante Korrelation mit globaler Lebensqualität (r=0,14-0,22); GAS-Verbesserung mit höherer Wahrscheinlichkeit, zu Hause zu bleiben assoziiert (OR=1,08, p&lt;0,01).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 Pflegesettings, gute Übertragbarkeit.</w:t>
      </w:r>
    </w:p>
    <w:p>
      <w:r>
        <w:rPr>
          <w:color w:val="5A7D3A"/>
          <w:sz w:val="18"/>
        </w:rPr>
        <w:t>https://pubmed.ncbi.nlm.nih.gov/42735391/</w:t>
      </w:r>
    </w:p>
    <w:p>
      <w:pPr>
        <w:pStyle w:val="Heading2"/>
      </w:pPr>
      <w:r>
        <w:t>Alkoholreduzierung in der Schwangerschaft: computergestützte und fachkraftgestützte Kurzzeitintervention in der Geburtshilfe</w:t>
      </w:r>
    </w:p>
    <w:p>
      <w:r>
        <w:rPr>
          <w:i/>
          <w:color w:val="666666"/>
          <w:sz w:val="18"/>
        </w:rPr>
        <w:t>Brown JL et al.  ·  Int J Addctn Nurs  ·  09.03.2026  ·  PMID 42734584</w:t>
      </w:r>
    </w:p>
    <w:p>
      <w:r>
        <w:t>Entwicklung und kulturelle Anpassung einer kurzen Intervention zur Alkoholreduzierung bei schwangeren Frauen, bestehend aus zwei computergestützten und drei Kurz-Sitzungen mit Hebammen.</w:t>
      </w:r>
    </w:p>
    <w:p>
      <w:r>
        <w:rPr>
          <w:b/>
        </w:rPr>
        <w:t xml:space="preserve">Ergebnis: </w:t>
      </w:r>
      <w:r>
        <w:t>Beschreibung der Safe-Start-Intervention mit theoretischer Grundlage; Durchführbarkeit bei Implementierung in Pränatalkliniken demonstriert, jedoch keine Effektivitätsdaten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Interventionsaufbau übertragbar, Finanzierungskontext nicht.</w:t>
      </w:r>
    </w:p>
    <w:p>
      <w:r>
        <w:rPr>
          <w:color w:val="5A7D3A"/>
          <w:sz w:val="18"/>
        </w:rPr>
        <w:t>https://pubmed.ncbi.nlm.nih.gov/42734584/</w:t>
      </w:r>
    </w:p>
    <w:p>
      <w:pPr>
        <w:pStyle w:val="Heading2"/>
      </w:pPr>
      <w:r>
        <w:t>Sterbevorbereitung von pflegenden Angehörigen: Was ihre Erfahrung an Ressourcen und Belastungen zeigt</w:t>
      </w:r>
    </w:p>
    <w:p>
      <w:r>
        <w:rPr>
          <w:i/>
          <w:color w:val="666666"/>
          <w:sz w:val="18"/>
        </w:rPr>
        <w:t>Ju X et al.  ·  Front Public Health  ·  28.08.2026  ·  PMID 42729174</w:t>
      </w:r>
    </w:p>
    <w:p>
      <w:r>
        <w:t>Systematischer Review mit Meta-Synthese von 13 qualitativen Studien zu Erfahrungen von pflegenden Angehörigen bei Vorbereitung auf den Tod eines nahestehenden Menschen.</w:t>
      </w:r>
    </w:p>
    <w:p>
      <w:r>
        <w:rPr>
          <w:b/>
        </w:rPr>
        <w:t xml:space="preserve">Ergebnis: </w:t>
      </w:r>
      <w:r>
        <w:t>Vier integrierte Befunde: Neubewertung spiritueller Bedeutung, Informationskommunikation zur Todesvorbereitung, Bewältigung multidimensionaler Realitätsbelastungen, innere und äußere Ressourcen zur Unterstützung. Komplexer, psychosozialer Prozess mit authentischen Erlebenserfahrungen.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relevant für Palliativversorgung und Trauerhilfe.</w:t>
      </w:r>
    </w:p>
    <w:p>
      <w:r>
        <w:rPr>
          <w:color w:val="5A7D3A"/>
          <w:sz w:val="18"/>
        </w:rPr>
        <w:t>https://pubmed.ncbi.nlm.nih.gov/42729174/</w:t>
      </w:r>
    </w:p>
    <w:p>
      <w:pPr>
        <w:pStyle w:val="Heading2"/>
      </w:pPr>
      <w:r>
        <w:t>Unterstützung von Müttern HIV-exponierter, nicht infizierter Kinder: Worauf es bei Früher-Unterstützung ankommt</w:t>
      </w:r>
    </w:p>
    <w:p>
      <w:r>
        <w:rPr>
          <w:i/>
          <w:color w:val="666666"/>
          <w:sz w:val="18"/>
        </w:rPr>
        <w:t>Pandya H et al.  ·  Glob Public Health  ·  31.12.2026  ·  PMID 42726939</w:t>
      </w:r>
    </w:p>
    <w:p>
      <w:r>
        <w:t>Qualitative Studie mit 20 Müttern in Südafrika, wie strukturelle Lasten (Armut, Zeitmangel, fehlende Unterstützung) ihre Fähigkeit zu Früher-Unterstützung behindern.</w:t>
      </w:r>
    </w:p>
    <w:p>
      <w:r>
        <w:rPr>
          <w:b/>
        </w:rPr>
        <w:t xml:space="preserve">Ergebnis: </w:t>
      </w:r>
      <w:r>
        <w:t>Fünf Kernthemen: finanzielle Constraints, hohe Betreuungslast, schlechter Gesundheitszustand der Mutter, begrenzte Partner-/Familien-Unterstützung und mütterliche HIV-Erkrankung verstärken Barrieren. Bestehende Nurturing-Care-Ansätze berücksichtigen spezifische Vulnerabilität dieser Gruppe unzureichend.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 - Kontext sehr unterschiedlich zu Deutschland; grundsätzliche Erkenntnisse zur Unterstützung elterlicher Kapazität relevant.</w:t>
      </w:r>
    </w:p>
    <w:p>
      <w:r>
        <w:rPr>
          <w:color w:val="5A7D3A"/>
          <w:sz w:val="18"/>
        </w:rPr>
        <w:t>https://pubmed.ncbi.nlm.nih.gov/42726939/</w:t>
      </w:r>
    </w:p>
    <w:p>
      <w:pPr>
        <w:pStyle w:val="Heading2"/>
      </w:pPr>
      <w:r>
        <w:t>Unternehmerische Führung und Innovation in Pflegeteams: Welche Managementansätze wirken</w:t>
      </w:r>
    </w:p>
    <w:p>
      <w:r>
        <w:rPr>
          <w:i/>
          <w:color w:val="666666"/>
          <w:sz w:val="18"/>
        </w:rPr>
        <w:t>Martins MLDC et al.  ·  J Healthc Manag  ·  Sept. 2026  ·  PMID 42706815</w:t>
      </w:r>
    </w:p>
    <w:p>
      <w:r>
        <w:t>Querschnittstudie mit 760 portugiesischen Pflegekräften, wie unternehmerische Führung über innovative Verhaltensweisen zu Intrapreneuership führt.</w:t>
      </w:r>
    </w:p>
    <w:p>
      <w:r>
        <w:rPr>
          <w:b/>
        </w:rPr>
        <w:t xml:space="preserve">Ergebnis: </w:t>
      </w:r>
      <w:r>
        <w:t>Unternehmerische Führung assoziiert mit Intrapreneuership (direkt β=0,313, p&lt;0,001); innovatives Führungsverhalten als stärkster Prädiktor (β=0,345, p&lt;0,001); Modell erklärt 62% der Varianz. Empfehlung: Führungsentwicklung mit Fokus Innovation und sichere Arbeitsumgebungen.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übertragbar auf Strukturen mit ähnlichem Schichtsystem.</w:t>
      </w:r>
    </w:p>
    <w:p>
      <w:r>
        <w:rPr>
          <w:color w:val="5A7D3A"/>
          <w:sz w:val="18"/>
        </w:rPr>
        <w:t>https://pubmed.ncbi.nlm.nih.gov/42706815/</w:t>
      </w:r>
    </w:p>
    <w:p>
      <w:pPr>
        <w:pStyle w:val="Heading2"/>
      </w:pPr>
      <w:r>
        <w:t>Berufliche Entwicklung in der Kinderkrankenpflege: Was Pflegekräfte von ihren Arbeitgebern brauchen</w:t>
      </w:r>
    </w:p>
    <w:p>
      <w:r>
        <w:rPr>
          <w:i/>
          <w:color w:val="666666"/>
          <w:sz w:val="18"/>
        </w:rPr>
        <w:t>Rosengarten L et al.  ·  J Nurs Manag  ·  2026  ·  PMID 42703162</w:t>
      </w:r>
    </w:p>
    <w:p>
      <w:r>
        <w:t>Qualitative IPA-Studie mit 15 britischen Kinderkrankenpflegern zur Wahrnehmung ihrer persönlichen und beruflichen Entwicklung.</w:t>
      </w:r>
    </w:p>
    <w:p>
      <w:r>
        <w:rPr>
          <w:b/>
        </w:rPr>
        <w:t xml:space="preserve">Ergebnis: </w:t>
      </w:r>
      <w:r>
        <w:t>Vier Themen: Entwicklung als dynamischer, nicht-linearer Prozess durch Motivation, Arbeitskontexte, Managerverhalten und Ressourcenmangel behindert; Pflegekräfte fühlen sich unterwertet; Empfehlung: Manager als Ermöglicher, nicht Gatekeeper; nationale Mindeststandards für Spezialisierung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aber feldspezifische Unterversorgung gilt deutsch breit.</w:t>
      </w:r>
    </w:p>
    <w:p>
      <w:r>
        <w:rPr>
          <w:color w:val="5A7D3A"/>
          <w:sz w:val="18"/>
        </w:rPr>
        <w:t>https://pubmed.ncbi.nlm.nih.gov/42703162/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