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24.08.2026  |  4 Studien  |  pflege.m-vf.de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Medikamentensicherheits-Checkliste bei Pflegeheim-Übergängen: 51 % niedrigeres Wiederaufnahmrisiko</w:t>
      </w:r>
    </w:p>
    <w:p>
      <w:r>
        <w:rPr>
          <w:i/>
          <w:color w:val="666666"/>
          <w:sz w:val="18"/>
        </w:rPr>
        <w:t>Chen JS et al.  ·  J Eval Clin Pract  ·  Aug. 2026  ·  PMID 42633689</w:t>
      </w:r>
    </w:p>
    <w:p>
      <w:r>
        <w:t>Quasiexperimentelle Pilotstudie (n=200 Heimbewohner in Taiwan) zum Effekt einer risiko-basierten Medikamentensicherheits-Checkliste bei Entlassung auf ungeplante Krankenhauswiederaufnahmen in 90 Tagen.</w:t>
      </w:r>
    </w:p>
    <w:p>
      <w:r>
        <w:rPr>
          <w:b/>
        </w:rPr>
        <w:t xml:space="preserve">Ergebnis: </w:t>
      </w:r>
      <w:r>
        <w:t>Interventionsgruppe mit Checkliste: 51,1 % geringeres Wiederaufnahmerisiko als Kontrollgruppe (HR = 0,489; 95%-KI: 0,324–0,731). Präventive Medikationenkommunikation und Hochrisiko-Identifikation zeigt Machbarkeit. Als Pilotstudie mit Clusterallokation bedarf es Bestätigung in größeren Randomisierungsstudien.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Qualitätsintervention; Transitionsmanagement und Medikamentensicherheit auf verschiedene Kontexte übertragbar.</w:t>
      </w:r>
    </w:p>
    <w:p>
      <w:r>
        <w:rPr>
          <w:color w:val="5A7D3A"/>
          <w:sz w:val="18"/>
        </w:rPr>
        <w:t>https://pubmed.ncbi.nlm.nih.gov/42633689/</w:t>
      </w:r>
    </w:p>
    <w:p>
      <w:pPr>
        <w:pStyle w:val="Heading2"/>
      </w:pPr>
      <w:r>
        <w:t>Intrinsische Kapazität und Pflegeergebnisse im häuslichen Kontext: Fünf Verlaufstrends mit unterschiedlichen Risiken</w:t>
      </w:r>
    </w:p>
    <w:p>
      <w:r>
        <w:rPr>
          <w:i/>
          <w:color w:val="666666"/>
          <w:sz w:val="18"/>
        </w:rPr>
        <w:t>Egbujie BA et al.  ·  Age Ageing  ·  03.08.2026  ·  PMID 42632919</w:t>
      </w:r>
    </w:p>
    <w:p>
      <w:r>
        <w:t>Kanadische Kohortenstudie (n=302.467 Heimenpflegepatienten) mit Analyse von Intrinsic-Capacity-Trajektorien über die Zeit mittels Group-Based Trajectory Modelling und Assoziationen zu Mortalität und Pflegeheimaufnahme.</w:t>
      </w:r>
    </w:p>
    <w:p>
      <w:r>
        <w:rPr>
          <w:b/>
        </w:rPr>
        <w:t xml:space="preserve">Ergebnis: </w:t>
      </w:r>
      <w:r>
        <w:t>Fünf unterschiedliche Kapazitätsverlaufstrends identifiziert. Moderate Ausgangskapazität mit stabiler oder verbesserter Trajektorie führte zu niedrigerer Pflegeheimaufnahmerate (38,1 %) als moderate Kapazität mit Verschlechterung (48,4 %). Kognitive Beeinträchtigung stark mit negativen Trajektorien assoziiert. Einzelne Assessments erfassen outcome-Heterogenität unzureichend.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Langzeitpflegesystem; Routinedaten (interRAI) für Versorgungsplanung genutzt.</w:t>
      </w:r>
    </w:p>
    <w:p>
      <w:r>
        <w:rPr>
          <w:color w:val="5A7D3A"/>
          <w:sz w:val="18"/>
        </w:rPr>
        <w:t>https://pubmed.ncbi.nlm.nih.gov/42632919/</w:t>
      </w:r>
    </w:p>
    <w:p>
      <w:pPr>
        <w:pStyle w:val="Heading2"/>
      </w:pPr>
      <w:r>
        <w:t>Hochdosis-Grippeimpfstoff in Pflegeheimen: 30,8 % weniger Krankenhauseinweisungen für Heimbewohner ab 65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zur Effektivität von Hochdosis- gegenüber Standarddosis-Influenza-Impfstoff in 76.858 gematchten Heimbewohnern (Durchschnittsalter 88 Jahre) in der Saison 2022–2023.</w:t>
      </w:r>
    </w:p>
    <w:p>
      <w:r>
        <w:rPr>
          <w:b/>
        </w:rPr>
        <w:t xml:space="preserve">Ergebnis: </w:t>
      </w:r>
      <w:r>
        <w:t>Hochdosis-Impfstoff führte zu 30,8 % weniger influenzabedingten Krankenhauseinweisungen (95%-KI: 11,8–45,7; p = 0,0029; 302 vs. 438 pro 100.000 Personenjahre). Kein signifikanter Effekt auf Pneumonie oder Kombinationsergebnisse. Relative Vakzineeffektivität für prioritäre Risikogruppe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Altersstruktur und Dokumentation; methodisch rigoros mit Propensity-Matching.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2"/>
      </w:pPr>
      <w:r>
        <w:t>Magnet®-Zertifizierung in deutschen Kliniken: Kostendaten und Implementierungslücken für Pflegeverbesserung</w:t>
      </w:r>
    </w:p>
    <w:p>
      <w:r>
        <w:rPr>
          <w:i/>
          <w:color w:val="666666"/>
          <w:sz w:val="18"/>
        </w:rPr>
        <w:t>Gurisch C et al.  ·  BMC Health Serv Res  ·  12.08.2026  ·  PMID 42608687</w:t>
      </w:r>
    </w:p>
    <w:p>
      <w:r>
        <w:t>Scoping Review und Interviews (n=6) mit Pflegeleitung in fünf deutschen Unikliniken zur Identifikation von Kosten und Einsparungen bei Magnet®-Zertifizierung in deutschem Kontext.</w:t>
      </w:r>
    </w:p>
    <w:p>
      <w:r>
        <w:rPr>
          <w:b/>
        </w:rPr>
        <w:t xml:space="preserve">Ergebnis: </w:t>
      </w:r>
      <w:r>
        <w:t>Kosten: ANCC-Gebühren, Benchmarking, Personalentwicklung, Datenmanagementsysteme. Deutsche Besonderheit: Akademisierung von Pflegekräften und Pflegeindikatoren als Kostenblöcke. Einsparungspotenziale bei pflegeindikatoren, Personalbinduung, Krankenhausleistung identifiziert, aber kritische Datenlücken für Kosteneffizienz-Analyse in Deutschland.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Analyse für deutsches Gesundheitssystem; zeigt erhebliche Datenlücken auf.</w:t>
      </w:r>
    </w:p>
    <w:p>
      <w:r>
        <w:rPr>
          <w:color w:val="5A7D3A"/>
          <w:sz w:val="18"/>
        </w:rPr>
        <w:t>https://pubmed.ncbi.nlm.nih.gov/42608687/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