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12.10.2026  |  6 Studien  |  pflege.m-vf.de</w:t>
      </w:r>
    </w:p>
    <w:p>
      <w:pPr>
        <w:pStyle w:val="Heading1"/>
      </w:pPr>
      <w:r>
        <w:t>Aufgenommen am 12.10.2026</w:t>
      </w:r>
    </w:p>
    <w:p>
      <w:pPr>
        <w:pStyle w:val="Heading2"/>
      </w:pPr>
      <w:r>
        <w:t>Klinisches Entscheidungssystem in deutschen Pflegeheimen: 72% passende Interventionsempfehlungen</w:t>
      </w:r>
    </w:p>
    <w:p>
      <w:r>
        <w:rPr>
          <w:i/>
          <w:color w:val="666666"/>
          <w:sz w:val="18"/>
        </w:rPr>
        <w:t>Pilz M et al.  ·  Health Care Manag Sci  ·  10.10.2026  ·  PMID 42859266</w:t>
      </w:r>
    </w:p>
    <w:p>
      <w:r>
        <w:t>Studie evaluierte einen hybriden klinischen Entscheidungsunterstützungssystem (CDSS) in zwei deutschen Pflegeheimen zu Mobilität und Schmerzmanagement.</w:t>
      </w:r>
    </w:p>
    <w:p>
      <w:r>
        <w:rPr>
          <w:b/>
        </w:rPr>
        <w:t xml:space="preserve">Ergebnis: </w:t>
      </w:r>
      <w:r>
        <w:t>Von CDSS-Empfehlungen wurden 72% von Pflegefachpersonen als situationsgerecht bewertet; Large-Language-Modell erzielte 76% Übereinstimmung beim Extrahieren relevanter Informationen aus Freitexteinträgen. Das System könnte Pflegeplanung unterstützen.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Studie, deutsches Pflegeheim-Setting, vergleichbare Dokumentation</w:t>
      </w:r>
    </w:p>
    <w:p>
      <w:r>
        <w:rPr>
          <w:color w:val="5A7D3A"/>
          <w:sz w:val="18"/>
        </w:rPr>
        <w:t>https://pubmed.ncbi.nlm.nih.gov/42859266/</w:t>
      </w:r>
    </w:p>
    <w:p>
      <w:pPr>
        <w:pStyle w:val="Heading2"/>
      </w:pPr>
      <w:r>
        <w:t>Interprofessionelle Entlassungsvorbereitung reduziert Krankenhauswiederaufnahmen im Alter</w:t>
      </w:r>
    </w:p>
    <w:p>
      <w:r>
        <w:rPr>
          <w:i/>
          <w:color w:val="666666"/>
          <w:sz w:val="18"/>
        </w:rPr>
        <w:t>Westerling U et al.  ·  BMC Geriatr  ·  06.10.2026  ·  PMID 42859151</w:t>
      </w:r>
    </w:p>
    <w:p>
      <w:r>
        <w:t>Schwedische Kohortenstudie mit Propensity-Score-Matching zur Wirkung eines zeitlich begrenzten, interprofessionellen Entlassungsmanagements nach Krankenhausaufenthalt bei über 75-Jährigen.</w:t>
      </w:r>
    </w:p>
    <w:p>
      <w:r>
        <w:rPr>
          <w:b/>
        </w:rPr>
        <w:t xml:space="preserve">Ergebnis: </w:t>
      </w:r>
      <w:r>
        <w:t>Nach 90 Tagen: Wiederaufnahmerate 20,3% (Intervention) vs. 33,6% (Kontrolle); Hazard Ratio 0,57 (95% KI 0,37–0,86, p=0,008). Nach 365 Tagen keine signifikanten Unterschiede in Sterblichkeit oder Wiederaufnahmen.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vergleichbares Gesundheitssystem, sektorenübergreifendes Setting</w:t>
      </w:r>
    </w:p>
    <w:p>
      <w:r>
        <w:rPr>
          <w:color w:val="5A7D3A"/>
          <w:sz w:val="18"/>
        </w:rPr>
        <w:t>https://pubmed.ncbi.nlm.nih.gov/42859151/</w:t>
      </w:r>
    </w:p>
    <w:p>
      <w:pPr>
        <w:pStyle w:val="Heading2"/>
      </w:pPr>
      <w:r>
        <w:t>Multikomponenteninterventionen reduzieren Belastung pflegender Angehöriger von Demenzpatienten</w:t>
      </w:r>
    </w:p>
    <w:p>
      <w:r>
        <w:rPr>
          <w:i/>
          <w:color w:val="666666"/>
          <w:sz w:val="18"/>
        </w:rPr>
        <w:t>Ito Y et al.  ·  Int J Geriatr Psychiatry  ·  Okt. 2026  ·  PMID 42858451</w:t>
      </w:r>
    </w:p>
    <w:p>
      <w:r>
        <w:t>Netzwerk-Metaanalyse von 67 randomisierten kontrollierten Studien zu nicht-pharmakologischen Interventionen für Angehörige von Menschen mit Demenz hinsichtlich Belastung und positiver Aspekte der Pflege.</w:t>
      </w:r>
    </w:p>
    <w:p>
      <w:r>
        <w:rPr>
          <w:b/>
        </w:rPr>
        <w:t xml:space="preserve">Ergebnis: </w:t>
      </w:r>
      <w:r>
        <w:t>Multikomponenteninterventionen zeigten signifikante Reduktion der Pflegebelastung (SMD: −0,33; 95% KI −0,63 bis −0,04). Andere Interventionstypen zeigten keine statistisch signifikanten Effekte. Evidenz für positive Aspekte der Pflege war spärlich.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Evidenz, Langzeitpflege-fokussiert, relevante Interventionstypen</w:t>
      </w:r>
    </w:p>
    <w:p>
      <w:r>
        <w:rPr>
          <w:color w:val="5A7D3A"/>
          <w:sz w:val="18"/>
        </w:rPr>
        <w:t>https://pubmed.ncbi.nlm.nih.gov/42858451/</w:t>
      </w:r>
    </w:p>
    <w:p>
      <w:pPr>
        <w:pStyle w:val="Heading2"/>
      </w:pPr>
      <w:r>
        <w:t>Risikostratifiziertes Pflegemanagement nach Koronarangiografie: weniger Blutungen, schneller mobil</w:t>
      </w:r>
    </w:p>
    <w:p>
      <w:r>
        <w:rPr>
          <w:i/>
          <w:color w:val="666666"/>
          <w:sz w:val="18"/>
        </w:rPr>
        <w:t>Guo X et al.  ·  Front Public Health  ·  25.09.2026  ·  PMID 42857093</w:t>
      </w:r>
    </w:p>
    <w:p>
      <w:r>
        <w:t>Prospektive randomisierte Studie (n=240) zu Failure-Mode-and-Effects-Analysis-gestütztem, risikostratifiziertem Pflegemanagement versus Standardpflege nach Koronarangiografie.</w:t>
      </w:r>
    </w:p>
    <w:p>
      <w:r>
        <w:rPr>
          <w:b/>
        </w:rPr>
        <w:t xml:space="preserve">Ergebnis: </w:t>
      </w:r>
      <w:r>
        <w:t>NRS-Schmerzwert nach 24h signifikant geringer; Opioid-Verbrauch um 23,4% reduziert; klinisch relevante Blutungen 8,3% vs. 17,5%; erste Mobilisierung um 8,2h früher; Krankenhausaufenthalt um 1,8 Tage verkürzt; Funktionale Unabhängigkeit bei Entlassung um 11,2% verbessert.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Sicherheitsstrukturen und Pflege-Outcomes sind übertragbar</w:t>
      </w:r>
    </w:p>
    <w:p>
      <w:r>
        <w:rPr>
          <w:color w:val="5A7D3A"/>
          <w:sz w:val="18"/>
        </w:rPr>
        <w:t>https://pubmed.ncbi.nlm.nih.gov/42857093/</w:t>
      </w:r>
    </w:p>
    <w:p>
      <w:pPr>
        <w:pStyle w:val="Heading2"/>
      </w:pPr>
      <w:r>
        <w:t>Achtsamkeitsbezogene Selbstfürsorge senkt berufliche Trauer bei ICU-Pflegenden</w:t>
      </w:r>
    </w:p>
    <w:p>
      <w:r>
        <w:rPr>
          <w:i/>
          <w:color w:val="666666"/>
          <w:sz w:val="18"/>
        </w:rPr>
        <w:t>Chen X et al.  ·  Front Public Health  ·  25.09.2026  ·  PMID 42856972</w:t>
      </w:r>
    </w:p>
    <w:p>
      <w:r>
        <w:t>Querschnittstudie (n=355 ICU-Pflegende) mit Latent-Profile-Analyse zu Zusammenhang zwischen achtsamkeitsbezogener Selbstfürsorge und beruflicher Trauer.</w:t>
      </w:r>
    </w:p>
    <w:p>
      <w:r>
        <w:rPr>
          <w:b/>
        </w:rPr>
        <w:t xml:space="preserve">Ergebnis: </w:t>
      </w:r>
      <w:r>
        <w:t>Zwei Profile: ‚Selbstfürsorge-Defizit' (32,5%) und ‚hohe Achtsamkeitspflege' (67,5%); hohes Achtsamkeitsprofil assoziiert mit signifikant geringerer beruflicher Trauer (p&lt;0,001); Einflussfaktoren: Gesundheitszustand und Selbstmitgefühl (p&lt;0,05).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Belastungsstrukturen und Selbstfürsorge-Interventionen sind versorgungsübergreifend relevant</w:t>
      </w:r>
    </w:p>
    <w:p>
      <w:r>
        <w:rPr>
          <w:color w:val="5A7D3A"/>
          <w:sz w:val="18"/>
        </w:rPr>
        <w:t>https://pubmed.ncbi.nlm.nih.gov/42856972/</w:t>
      </w:r>
    </w:p>
    <w:p>
      <w:pPr>
        <w:pStyle w:val="Heading2"/>
      </w:pPr>
      <w:r>
        <w:t>Faktoren für Haltung pflegender Angehöriger zur Verzichtsentscheidung bei Demenz</w:t>
      </w:r>
    </w:p>
    <w:p>
      <w:r>
        <w:rPr>
          <w:i/>
          <w:color w:val="666666"/>
          <w:sz w:val="18"/>
        </w:rPr>
        <w:t>Kim K et al.  ·  Nurs Open  ·  Okt. 2026  ·  PMID 42854103</w:t>
      </w:r>
    </w:p>
    <w:p>
      <w:r>
        <w:t>Querschnittstudie (n=113) südkoreanischer Angehöriger von Demenzpatienten zu Faktoren, die ihre Einstellung zum Verzicht auf lebenserhaltende Maßnahmen prägen.</w:t>
      </w:r>
    </w:p>
    <w:p>
      <w:r>
        <w:rPr>
          <w:b/>
        </w:rPr>
        <w:t xml:space="preserve">Ergebnis: </w:t>
      </w:r>
      <w:r>
        <w:t>Ehepartner und Kinder zeigten günstigere Haltungen als andere Angehörige; Assoziationen mit Vorausplanungswissen, Religiosität und vorherigen Familiendiskussionen waren in Robustheitsanalysen nicht konsistent gestützt. Befunde sind explorativ und bedürfen weiterer Bestätigung.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Aspekte zu Autonomie und Vorausplanung relevant für deutsches Setting</w:t>
      </w:r>
    </w:p>
    <w:p>
      <w:r>
        <w:rPr>
          <w:color w:val="5A7D3A"/>
          <w:sz w:val="18"/>
        </w:rPr>
        <w:t>https://pubmed.ncbi.nlm.nih.gov/42854103/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2026-10-12T06:00:00Z</dcterms:created>
  <dcterms:modified xsi:type="dcterms:W3CDTF">2026-10-12T06:00:00Z</dcterms:modified>
  <cp:category/>
</cp:coreProperties>
</file>