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28.09.2026  |  6 Studien  |  pflege.m-vf.de</w:t>
      </w:r>
    </w:p>
    <w:p>
      <w:pPr>
        <w:pStyle w:val="Heading1"/>
      </w:pPr>
      <w:r>
        <w:t>Aufgenommen am 28.09.2026</w:t>
      </w:r>
    </w:p>
    <w:p>
      <w:pPr>
        <w:pStyle w:val="Heading2"/>
      </w:pPr>
      <w:r>
        <w:t>Unterlassene Pflege im Notfall- und Intensivdienst: Netzwerkanalyse zentraler, Brücken- und Hebel-Aktivitäten</w:t>
      </w:r>
    </w:p>
    <w:p>
      <w:r>
        <w:rPr>
          <w:i/>
          <w:color w:val="666666"/>
          <w:sz w:val="18"/>
        </w:rPr>
        <w:t>Lv F et al.  ·  J Nurs Manag  ·  2026  ·  PMID 42801313</w:t>
      </w:r>
    </w:p>
    <w:p>
      <w:r>
        <w:t>Sekundäranalyse von 3351 Notfall- und Intensivpflegefachpersonen aus 22 chinesischen Krankenhäusern mit Netzwerkmodellierung zur bedingten Assoziation von 24 unterlassenen Pflegeaktivitäten mittels Ising-Modell und Perturbationsanalyse.</w:t>
      </w:r>
    </w:p>
    <w:p>
      <w:r>
        <w:rPr>
          <w:b/>
        </w:rPr>
        <w:t xml:space="preserve">Ergebnis: </w:t>
      </w:r>
      <w:r>
        <w:t>Netzwerk: 109 von 276 möglichen Kanten (108 positiv). Höchste Expected Influence (Zentralität): Vitalzeichenüberwachung (8,97), gefolgt von Rehabilitationsanleitung und Bestandsaufnahme. Höchste Bridge EI: Dekubitus-/Wundversorgung (6,94). Emotionale Unterstützung und Baden/Hautpflege waren als Hebelpunkte am robustesten. Emotionale Unterstützung: Reduktion um 2,70 Knoten bei 2-SD-Threshold-Senkung.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Metodisch anwendbar, Priorisierung unterlassener Pflege relevant für deutsche Qualitätsmessung</w:t>
      </w:r>
    </w:p>
    <w:p>
      <w:r>
        <w:rPr>
          <w:color w:val="5A7D3A"/>
          <w:sz w:val="18"/>
        </w:rPr>
        <w:t>https://pubmed.ncbi.nlm.nih.gov/42801313/</w:t>
      </w:r>
    </w:p>
    <w:p>
      <w:pPr>
        <w:pStyle w:val="Heading2"/>
      </w:pPr>
      <w:r>
        <w:t>Museumsbasierte Schulung zu klinischer Beobachtung: Wirksamkeit bei 874 Pflegestudierenden</w:t>
      </w:r>
    </w:p>
    <w:p>
      <w:r>
        <w:rPr>
          <w:i/>
          <w:color w:val="666666"/>
          <w:sz w:val="18"/>
        </w:rPr>
        <w:t>Pestaña ÁC et al.  ·  Perspect Med Educ  ·  25.09.2026  ·  PMID 42799497</w:t>
      </w:r>
    </w:p>
    <w:p>
      <w:r>
        <w:t>Pilotstudie mit 874 Pflegestudierenden an zwei Universitäten, die ein museumspädagogisches Programm zur Förderung genauen klinischen Beobachtens, evidenzgestützter Beschreibung und humanistischer Reflexion absolvierten.</w:t>
      </w:r>
    </w:p>
    <w:p>
      <w:r>
        <w:rPr>
          <w:b/>
        </w:rPr>
        <w:t xml:space="preserve">Ergebnis: </w:t>
      </w:r>
      <w:r>
        <w:t>Studierende berichteten post-Intervention signifikant höhere Scores in wahrgenommener Wissenserweiterung (p &lt; 0,05), klinischen Beobachtungsfähigkeiten (p &lt; 0,05) und Bildungswert (p &lt; 0,05). Die qualitative Analyse zeigte hohes Vertrauen in Übertragbarkeit auf klinische Praxis und Wertschätzung der Kunstintegration.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Spanien/Großbritannien, Struktur und Methoden direkt übertragbar auf deutschsprachige Pflegeausbildung</w:t>
      </w:r>
    </w:p>
    <w:p>
      <w:r>
        <w:rPr>
          <w:color w:val="5A7D3A"/>
          <w:sz w:val="18"/>
        </w:rPr>
        <w:t>https://pubmed.ncbi.nlm.nih.gov/42799497/</w:t>
      </w:r>
    </w:p>
    <w:p>
      <w:pPr>
        <w:pStyle w:val="Heading2"/>
      </w:pPr>
      <w:r>
        <w:t>Kompetenz von Krebspflege-Navigatorinnen und Patientenzufriedenheit: Ergebnis in Ägypten</w:t>
      </w:r>
    </w:p>
    <w:p>
      <w:r>
        <w:rPr>
          <w:i/>
          <w:color w:val="666666"/>
          <w:sz w:val="18"/>
        </w:rPr>
        <w:t>Bassyouny HAA et al.  ·  Medicine (Baltimore)  ·  25.09.2026  ·  PMID 42798116</w:t>
      </w:r>
    </w:p>
    <w:p>
      <w:r>
        <w:t>Querschnittsstudie mit 65 Krebspflege-Navigatorinnen und 404 Patienten an einem Krebszentrum zur Beziehung zwischen Navigatorenkompetenzen und Patientenzufriedenheit.</w:t>
      </w:r>
    </w:p>
    <w:p>
      <w:r>
        <w:rPr>
          <w:b/>
        </w:rPr>
        <w:t xml:space="preserve">Ergebnis: </w:t>
      </w:r>
      <w:r>
        <w:t>Mittlere Kompetenzscores: 79,28 ± 8,24; mittlere Patientenzufriedenheit: 93,18 ± 5,68. Starke positive Assoziationen zwischen Gesamtkompetenz und Patientenzufriedenheit (r = 0,70, 95% KI [0,55-0,81], p &lt; 0,001). Koordination der Versorgung und Expertenniveau zeigten stärkste Assoziationen mit Zufriedenheit (r = 0,56-0,65).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Schwellenländer - Konzept Case Management anwendbar, generalisierbar auf deutsche Versorgung eingeschränkt</w:t>
      </w:r>
    </w:p>
    <w:p>
      <w:r>
        <w:rPr>
          <w:color w:val="5A7D3A"/>
          <w:sz w:val="18"/>
        </w:rPr>
        <w:t>https://pubmed.ncbi.nlm.nih.gov/42798116/</w:t>
      </w:r>
    </w:p>
    <w:p>
      <w:pPr>
        <w:pStyle w:val="Heading2"/>
      </w:pPr>
      <w:r>
        <w:t>Pflegegeleite Sicherheitsmanagement bei der Harnleiterspülung: Reduktion von Infektionen und Hyponatriämie</w:t>
      </w:r>
    </w:p>
    <w:p>
      <w:r>
        <w:rPr>
          <w:i/>
          <w:color w:val="666666"/>
          <w:sz w:val="18"/>
        </w:rPr>
        <w:t>Li Q et al.  ·  Medicine (Baltimore)  ·  25.09.2026  ·  PMID 42798046</w:t>
      </w:r>
    </w:p>
    <w:p>
      <w:r>
        <w:t>Retrospektive Kohortenstudie mit 173 Patienten zur Ureterpyelolithotomie mit und ohne strukturierte pflegegeleite Spülflüssigkeitssicherheit; Vergleich von Baseline, Prozessindikatoren und postoperativen Ergebnissen.</w:t>
      </w:r>
    </w:p>
    <w:p>
      <w:r>
        <w:rPr>
          <w:b/>
        </w:rPr>
        <w:t xml:space="preserve">Ergebnis: </w:t>
      </w:r>
      <w:r>
        <w:t>Mit Protokoll: niedrigere Spüldruck-Messwerte (24,0 vs 42,5 mm Hg, p &lt; 0,001), weniger Fieber &gt; 38,5 °C (4,5% vs 14,1%, p = 0,027), weniger Hyponatriämie (2,3% vs 10,6%, p = 0,027), kürzere Operationszeit (55 vs 65 Minuten, p = 0,004), kürzerer Krankenhausaufenthalt (3 vs 4 Tage, p &lt; 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Ergebnis direkt anwendbar, Prozess- und Komplikationsverhütung transnational</w:t>
      </w:r>
    </w:p>
    <w:p>
      <w:r>
        <w:rPr>
          <w:color w:val="5A7D3A"/>
          <w:sz w:val="18"/>
        </w:rPr>
        <w:t>https://pubmed.ncbi.nlm.nih.gov/42798046/</w:t>
      </w:r>
    </w:p>
    <w:p>
      <w:pPr>
        <w:pStyle w:val="Heading2"/>
      </w:pPr>
      <w:r>
        <w:t>Pflegegeleite Malnutritionsscreening bei älteren hospitalisierten Patienten: Wirksamkeit der Früherkennung</w:t>
      </w:r>
    </w:p>
    <w:p>
      <w:r>
        <w:rPr>
          <w:i/>
          <w:color w:val="666666"/>
          <w:sz w:val="18"/>
        </w:rPr>
        <w:t>El-Ashry AM et al.  ·  Nutrients  ·  20.09.2026  ·  PMID 42797062</w:t>
      </w:r>
    </w:p>
    <w:p>
      <w:r>
        <w:t>Scoping Review mit 18 eingeschlossenen Studien zu pflegegeleitem Screening mit MNA, MNA-SF, MST, MUST, NRS-2002, SNAQ bei älteren Hospitalisierten hinsichtlich Erkennungsgenauigkeit und Barrieren.</w:t>
      </w:r>
    </w:p>
    <w:p>
      <w:r>
        <w:rPr>
          <w:b/>
        </w:rPr>
        <w:t xml:space="preserve">Ergebnis: </w:t>
      </w:r>
      <w:r>
        <w:t>Standardisiertes Screening verbesserte Unterernährungserkennung von 38,6% auf 73,1%; MST zeigte in Hochrisiko-Kohorte 94% Sensitivität, 89% Spezifität; MNA-SF ICC = 0,74 mit nur moderater Übereinstimmung (Kappa = 0,37). Barrieren: inkonsistente Bewertung, limitiertes Ernährungswissen, Arbeitsbelastung, Dokumentationslücken. Keine Studie maß Komplikationen, Liegedauer oder Mortalität.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Instrumente in Deutschland etabliert, Barrieren systemisch relevant</w:t>
      </w:r>
    </w:p>
    <w:p>
      <w:r>
        <w:rPr>
          <w:color w:val="5A7D3A"/>
          <w:sz w:val="18"/>
        </w:rPr>
        <w:t>https://pubmed.ncbi.nlm.nih.gov/42797062/</w:t>
      </w:r>
    </w:p>
    <w:p>
      <w:pPr>
        <w:pStyle w:val="Heading2"/>
      </w:pPr>
      <w:r>
        <w:t>Krankenpflegestudierende und humanoide soziale Roboter in der Geriatrie: Haltungen und Voraussagen für den Pflegeberuf</w:t>
      </w:r>
    </w:p>
    <w:p>
      <w:r>
        <w:rPr>
          <w:i/>
          <w:color w:val="666666"/>
          <w:sz w:val="18"/>
        </w:rPr>
        <w:t>Osypka K et al.  ·  Front Public Health  ·  08.09.2026  ·  PMID 42774093</w:t>
      </w:r>
    </w:p>
    <w:p>
      <w:r>
        <w:t>Querschnittstudie mit 475 polnischen Pflegestudierenden zu Haltungen gegenüber einem sozialen Roboter (TIAGo) und Assoziationen mit Beschäftigungsstatus, Berufserfahrung und technologischer Flüssigkeit.</w:t>
      </w:r>
    </w:p>
    <w:p>
      <w:r>
        <w:rPr>
          <w:b/>
        </w:rPr>
        <w:t xml:space="preserve">Ergebnis: </w:t>
      </w:r>
      <w:r>
        <w:t>475 Studierende (48,5% berufstätig): insgesamt positive Haltungen, Assistenzfunktionen besser bewertet als soziale. Berufstätig beschäftigte Studierende hielten signifikant günstigere Ansichten (zur Animacy höher). Unabhängige Prädiktoren: Beschäftigungsstatus, Alter, selbstbewertete technologische Flüssigkeit. Diese Querschnittsassoziation kann das Integrieren von Mensch-Roboter-Interaktion in Lehrpläne unterstützen.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 - ähnliche Berufsstrukturen wie deutschsprachiger Raum, Technologieakzeptanz vergleichbar</w:t>
      </w:r>
    </w:p>
    <w:p>
      <w:r>
        <w:rPr>
          <w:color w:val="5A7D3A"/>
          <w:sz w:val="18"/>
        </w:rPr>
        <w:t>https://pubmed.ncbi.nlm.nih.gov/42774093/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2026-09-28T06:00:00Z</dcterms:created>
  <dcterms:modified xsi:type="dcterms:W3CDTF">2026-09-28T06:00:00Z</dcterms:modified>
  <cp:category/>
</cp:coreProperties>
</file>