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02.10.2026  |  6 Studien  |  pflege.m-vf.de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Schulung in Beatmungspflege reduziert Infektionen: Wirkung auf Wissen, Adhärenz und VAP-Raten</w:t>
      </w:r>
    </w:p>
    <w:p>
      <w:r>
        <w:rPr>
          <w:i/>
          <w:color w:val="666666"/>
          <w:sz w:val="18"/>
        </w:rPr>
        <w:t>Omar DI et al.  ·  Dimens Crit Care Nurs  ·  30.09.2026  ·  PMID 42821858</w:t>
      </w:r>
    </w:p>
    <w:p>
      <w:r>
        <w:t>Quasi-experimentelle Studie in zwei ICUs einer ägyptischen Universitätsklinik mit 262 Pflegenden; Intervention: 12 strukturierte Schulungssitzungen plus Demonstrationen am Bett zu Beatmungsbündel-Praktiken.</w:t>
      </w:r>
    </w:p>
    <w:p>
      <w:r>
        <w:rPr>
          <w:b/>
        </w:rPr>
        <w:t xml:space="preserve">Ergebnis: </w:t>
      </w:r>
      <w:r>
        <w:t>Signifikante Verbesserung des Pflegewissens postintervention (p &lt; 0,001). Compliance mit VAP-Bündel deutlich erhöht. VAP-Inzidenz sank um fast ein Drittel (Zentral-ICU -29,1%; Intermediate-ICU -28,5%), was etwa 1 verhinderte Infektion pro 10 beatmete Patienten entspricht. Mortalität beatmeter Patienten um die Hälfte in Intermediate-ICU reduziert (-53,8%), um ein Drittel in Zentral-ICU (-30,9%).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Ägypten - Sicherheitseffekt übertragbar, Kontextualisierung auf deutsches System erforderlich</w:t>
      </w:r>
    </w:p>
    <w:p>
      <w:r>
        <w:rPr>
          <w:color w:val="5A7D3A"/>
          <w:sz w:val="18"/>
        </w:rPr>
        <w:t>https://pubmed.ncbi.nlm.nih.gov/42821858/</w:t>
      </w:r>
    </w:p>
    <w:p>
      <w:pPr>
        <w:pStyle w:val="Heading2"/>
      </w:pPr>
      <w:r>
        <w:t>Agitation und Aggression bei Alzheimer-Demenz: Langzeitkosten und informelle Pflege</w:t>
      </w:r>
    </w:p>
    <w:p>
      <w:r>
        <w:rPr>
          <w:i/>
          <w:color w:val="666666"/>
          <w:sz w:val="18"/>
        </w:rPr>
        <w:t>Costa N et al.  ·  Int J Geriatr Psychiatry  ·  Okt. 2026  ·  PMID 42821808</w:t>
      </w:r>
    </w:p>
    <w:p>
      <w:r>
        <w:t>Longitudinale Kohortenstudie über 12 Monate mit 262 Patienten (ambulant und stationär), um die Auswirkung von Verhaltenssymptomen auf Gesamtkosten einschließlich Angehörigenpflege zu bestimmen.</w:t>
      </w:r>
    </w:p>
    <w:p>
      <w:r>
        <w:rPr>
          <w:b/>
        </w:rPr>
        <w:t xml:space="preserve">Ergebnis: </w:t>
      </w:r>
      <w:r>
        <w:t>Zwei Verlaufsmuster identifiziert: Gruppe A (milde Symptome mit Verbesserung) €22.959/Jahr, Gruppe B (moderate Symptome, begrenzte Verbesserung) €23.625/Jahr ohne Beaufsichtigung; mit Beaufsichtigung €52.111 bzw. €56.149. Informelle Pflege entsprach ~70% der Gesamtkosten bei ambulanten Patienten. Beaufsichtigung deckte Mehrheit der informellen Pflegekosten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System zur Pflegeversicherung Deutschland</w:t>
      </w:r>
    </w:p>
    <w:p>
      <w:r>
        <w:rPr>
          <w:color w:val="5A7D3A"/>
          <w:sz w:val="18"/>
        </w:rPr>
        <w:t>https://pubmed.ncbi.nlm.nih.gov/42821808/</w:t>
      </w:r>
    </w:p>
    <w:p>
      <w:pPr>
        <w:pStyle w:val="Heading2"/>
      </w:pPr>
      <w:r>
        <w:t>Ernsthaftes Spiel für Pflegeleitung in der Primärversorgung: Entwicklung und Validierung</w:t>
      </w:r>
    </w:p>
    <w:p>
      <w:r>
        <w:rPr>
          <w:i/>
          <w:color w:val="666666"/>
          <w:sz w:val="18"/>
        </w:rPr>
        <w:t>Fonseca CCWDMD et al.  ·  Rev Bras Enferm  ·  25.09.2026  ·  PMID 42820591</w:t>
      </w:r>
    </w:p>
    <w:p>
      <w:r>
        <w:t>Methodologische Studie zur Entwicklung und Validierung eines digitalen Spiels für die Leitungskompetenzentwicklung bei Pflegekräften der Primärversorgung; zwei Phasen mit Expertenvalidierung (e-Delphi) und Nutzungsbewertung.</w:t>
      </w:r>
    </w:p>
    <w:p>
      <w:r>
        <w:rPr>
          <w:b/>
        </w:rPr>
        <w:t xml:space="preserve">Ergebnis: </w:t>
      </w:r>
      <w:r>
        <w:t>Content Validity Index global 0,93. Mittlere Usability-Score 92,0 (von 100), Bewertung als Lernressource 97,9. Finales Spiel mit verbessertem Layout, 75 überarbeitete Spielkarten und verfeinerte Regeln. 14 Pflegekräfte bestätigten Einsatzreife für berufliche 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Brasilien/Portugal - Methodische Validierung universal, digitales Format ortsunabhängig</w:t>
      </w:r>
    </w:p>
    <w:p>
      <w:r>
        <w:rPr>
          <w:color w:val="5A7D3A"/>
          <w:sz w:val="18"/>
        </w:rPr>
        <w:t>https://pubmed.ncbi.nlm.nih.gov/42820591/</w:t>
      </w:r>
    </w:p>
    <w:p>
      <w:pPr>
        <w:pStyle w:val="Heading2"/>
      </w:pPr>
      <w:r>
        <w:t>Hebammen-gestützte präklinische Geburtsbetreuung: Effekt auf Verzögerungen bei Schwangerschaft</w:t>
      </w:r>
    </w:p>
    <w:p>
      <w:r>
        <w:rPr>
          <w:i/>
          <w:color w:val="666666"/>
          <w:sz w:val="18"/>
        </w:rPr>
        <w:t>Britto AMA et al.  ·  Rev Bras Enferm  ·  28.09.2026  ·  PMID 42820562</w:t>
      </w:r>
    </w:p>
    <w:p>
      <w:r>
        <w:t>Erfahrungsbericht der Pflegeleistungen durch Hebammen im Transportmodul des Cegonha-Carioca-Programms (2012–2024) unter Anwendung des Three-Delays-Modells zur Analyse der Versorgung schwangerer und postpartaler Frauen.</w:t>
      </w:r>
    </w:p>
    <w:p>
      <w:r>
        <w:rPr>
          <w:b/>
        </w:rPr>
        <w:t xml:space="preserve">Ergebnis: </w:t>
      </w:r>
      <w:r>
        <w:t>Öffentliches Bewusstsein für Ambulanzdienst mit Qualität und Humanisierung der Betreuung mindert die Verzögerung bei Aufsuchen von Hilfe. Kostenloser Zugang, strategische Ambulanzplatzierung und designierte Referenzmutterschaftsklinik fördern Zugangsidentifikation und -nutzung. Effiziente Kommunikation, Priorisierung und Alarmsysteme unterstützen zeitgerechte Versorgung. Hebammen-Intervention über präklinisches Setting reduziert mütterliche 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- Hebammen-Praxismodell, Übertragbarkeit auf deutsches System mit Kontextualisierung</w:t>
      </w:r>
    </w:p>
    <w:p>
      <w:r>
        <w:rPr>
          <w:color w:val="5A7D3A"/>
          <w:sz w:val="18"/>
        </w:rPr>
        <w:t>https://pubmed.ncbi.nlm.nih.gov/42820562/</w:t>
      </w:r>
    </w:p>
    <w:p>
      <w:pPr>
        <w:pStyle w:val="Heading2"/>
      </w:pPr>
      <w:r>
        <w:t>Klinische Empathie und Kontinuität mindern Versorgungsfragmentierung bei Patienten mit mehreren chronischen Erkrankungen</w:t>
      </w:r>
    </w:p>
    <w:p>
      <w:r>
        <w:rPr>
          <w:i/>
          <w:color w:val="666666"/>
          <w:sz w:val="18"/>
        </w:rPr>
        <w:t>Arakelyan S et al.  ·  Br J Gen Pract  ·  01.10.2026  ·  PMID 42767938</w:t>
      </w:r>
    </w:p>
    <w:p>
      <w:r>
        <w:t>Qualitative Studie mit 6 Fokusgruppen (28 Patienten und Angehörige) in 4 schottischen Health-and-Social-Care-Partnerschaften zur Erfahrung fragmentierter Versorgung und stabilisierender Faktoren.</w:t>
      </w:r>
    </w:p>
    <w:p>
      <w:r>
        <w:rPr>
          <w:b/>
        </w:rPr>
        <w:t xml:space="preserve">Ergebnis: </w:t>
      </w:r>
      <w:r>
        <w:t>Vier Themenbereiche: Dynamische Wechselwirkung zwischen Patienten, Angehörigen, Professionellen und Organisationsstrukturen. Versorgungsänderungen zur Effizienzsteigerung werden oft als Patienten-Bedarf nicht entsprechend wahrgenommen und verursachen Verhaltensänderungen bei Patienten/Angehörigen. Klinische Empathie und Relational Continuity of Care waren zentrale stabilisierende Faktoren in fragmenierten Systemen. Kleine persönliche Interaktionen hatten disproportional große Effekte auf Vertrauen und Engagement.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 (UK), vergleichbare Gesundheitssystem-Struktur mit Deutschland</w:t>
      </w:r>
    </w:p>
    <w:p>
      <w:r>
        <w:rPr>
          <w:color w:val="5A7D3A"/>
          <w:sz w:val="18"/>
        </w:rPr>
        <w:t>https://pubmed.ncbi.nlm.nih.gov/42767938/</w:t>
      </w:r>
    </w:p>
    <w:p>
      <w:pPr>
        <w:pStyle w:val="Heading2"/>
      </w:pPr>
      <w:r>
        <w:t>Respiratorische Virusinfektionen im Pflegeheim: Klinische Auswirkungen und Differenzierung</w:t>
      </w:r>
    </w:p>
    <w:p>
      <w:r>
        <w:rPr>
          <w:i/>
          <w:color w:val="666666"/>
          <w:sz w:val="18"/>
        </w:rPr>
        <w:t>Kolodziej LM et al.  ·  J Am Med Dir Assoc  ·  05.09.2026  ·  PMID 42700659</w:t>
      </w:r>
    </w:p>
    <w:p>
      <w:r>
        <w:t>Prospektive Kohortenstudie in 15 niederländischen Pflegeheimen (März 2023–Mai 2025) zu 3.195 Bewohnern mit vermuteten akuten Atemwegsinfektionen, um Virustypen und klinische Folgen zu untersuchen.</w:t>
      </w:r>
    </w:p>
    <w:p>
      <w:r>
        <w:rPr>
          <w:b/>
        </w:rPr>
        <w:t xml:space="preserve">Ergebnis: </w:t>
      </w:r>
      <w:r>
        <w:t>526 Atemwegsinfekt-Episoden dokumentiert; Viren in 291 Fällen nachgewiesen: SARS-CoV-2 (29,0%), Influenza A (23,6%), Rhinovirus/Enterovirus (18,8%), RSV (11,8%), hMPV (6,4%). Influenza A zeigte verzögerte Erholung, erhöhten Sauerstoffbedarf und 3-fach erhöhtes Risiko für bakterielle Sekundärpneumonie; hMPV mit 4-fach höherer Bettenlage-Dauer assoziiert. SARS-CoV-2 hatte bessere Erholungsprognose bis Tag 14.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direkter Anwendungskontext Pflegheim-Versorgung</w:t>
      </w:r>
    </w:p>
    <w:p>
      <w:r>
        <w:rPr>
          <w:color w:val="5A7D3A"/>
          <w:sz w:val="18"/>
        </w:rPr>
        <w:t>https://pubmed.ncbi.nlm.nih.gov/42700659/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