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Pflege und Langzeitversorgung</w:t>
      </w:r>
    </w:p>
    <w:p>
      <w:r>
        <w:rPr>
          <w:i/>
          <w:color w:val="666666"/>
          <w:sz w:val="18"/>
        </w:rPr>
        <w:t>Stand: 22.10.2026  |  6 Studien  |  pflege.m-vf.de</w:t>
      </w:r>
    </w:p>
    <w:p>
      <w:pPr>
        <w:pStyle w:val="Heading1"/>
      </w:pPr>
      <w:r>
        <w:t>Aufgenommen am 22.10.2026</w:t>
      </w:r>
    </w:p>
    <w:p>
      <w:pPr>
        <w:pStyle w:val="Heading2"/>
      </w:pPr>
      <w:r>
        <w:t>Hospital-at-home in Dänemark: stabile Sicherheit, sinkende Wiederaufnahmen</w:t>
      </w:r>
    </w:p>
    <w:p>
      <w:r>
        <w:rPr>
          <w:i/>
          <w:color w:val="666666"/>
          <w:sz w:val="18"/>
        </w:rPr>
        <w:t>Hägi-Pedersen MB et al.  ·  BMC Health Serv Res  ·  24.07.2026  ·  PMID 42902350</w:t>
      </w:r>
    </w:p>
    <w:p>
      <w:r>
        <w:t>Registerstudie zu Sicherheit und Ergebnissen eines regionalen Hospital-at-home-Modells in Dänemark mit 2.511 Patienten.</w:t>
      </w:r>
    </w:p>
    <w:p>
      <w:r>
        <w:rPr>
          <w:b/>
        </w:rPr>
        <w:t xml:space="preserve">Ergebnis: </w:t>
      </w:r>
      <w:r>
        <w:t>Wiederaufnahmequoten sanken von 11,0 % (2022) auf 7,0 % (2024); Notfallkontakte blieben stabil (27,0–31,1 %); 30-Tage-Überleben konstant hoch (91,6–92,4 %). Behandlungsdauer stieg von 5,1 auf 7,3 Tage. Ergebnisse variierten nach Diagnose und Zuweisungsquelle; orthopädische und chronische Erkrankungen zeigten längere Aufenthalte.</w:t>
      </w:r>
    </w:p>
    <w:p>
      <w:r>
        <w:rPr>
          <w:b/>
          <w:sz w:val="19"/>
        </w:rPr>
        <w:t xml:space="preserve">Übertragbarkeit: </w:t>
      </w:r>
      <w:r>
        <w:rPr>
          <w:sz w:val="19"/>
        </w:rPr>
        <w:t>Dänemark, vergleichbare öffentliche Gesundheitssysteme, ambulante Strukturen in Deutschland adaptierbar.</w:t>
      </w:r>
    </w:p>
    <w:p>
      <w:r>
        <w:rPr>
          <w:color w:val="5A7D3A"/>
          <w:sz w:val="18"/>
        </w:rPr>
        <w:t>https://pubmed.ncbi.nlm.nih.gov/42902350/</w:t>
      </w:r>
    </w:p>
    <w:p>
      <w:pPr>
        <w:pStyle w:val="Heading2"/>
      </w:pPr>
      <w:r>
        <w:t>Outdoor-Umgebungen in Pflegeheimen: Chancen und Hürden</w:t>
      </w:r>
    </w:p>
    <w:p>
      <w:r>
        <w:rPr>
          <w:i/>
          <w:color w:val="666666"/>
          <w:sz w:val="18"/>
        </w:rPr>
        <w:t>Liljegren M et al.  ·  BMC Health Serv Res  ·  14.10.2026  ·  PMID 42902269</w:t>
      </w:r>
    </w:p>
    <w:p>
      <w:r>
        <w:t>Qualitative Studie mit Walking Interviews mit 11 älteren Bewohnern und Fokusgruppen mit Pflegekräften an 3 schwedischen Pflegeheimen zur Integration von Außenräumen in die Versorgung.</w:t>
      </w:r>
    </w:p>
    <w:p>
      <w:r>
        <w:rPr>
          <w:b/>
        </w:rPr>
        <w:t xml:space="preserve">Ergebnis: </w:t>
      </w:r>
      <w:r>
        <w:t>Alle vier Zonen (Innenräume mit Fenstern, Übergangszonen, Gärten, Umgebung) boten Chancen für Alltagsaktivitäten, soziale Kontakte, körperliche Aktivität und therapeutische Gespräche. Barriers waren physisch, saisonal, organisatorisch, informativ und sozial. Pflegekräfte nannten Zeitmangel, fehlendes Wissen und geringe organisatorische Unterstützung als Haupthindernisse.</w:t>
      </w:r>
    </w:p>
    <w:p>
      <w:r>
        <w:rPr>
          <w:b/>
          <w:sz w:val="19"/>
        </w:rPr>
        <w:t xml:space="preserve">Übertragbarkeit: </w:t>
      </w:r>
      <w:r>
        <w:rPr>
          <w:sz w:val="19"/>
        </w:rPr>
        <w:t>Schweden, Langzeitversorgung, Umweltdesign im deutschsprachigen Raum übertragbar.</w:t>
      </w:r>
    </w:p>
    <w:p>
      <w:r>
        <w:rPr>
          <w:color w:val="5A7D3A"/>
          <w:sz w:val="18"/>
        </w:rPr>
        <w:t>https://pubmed.ncbi.nlm.nih.gov/42902269/</w:t>
      </w:r>
    </w:p>
    <w:p>
      <w:pPr>
        <w:pStyle w:val="Heading2"/>
      </w:pPr>
      <w:r>
        <w:t>Lebensbejahtheit und Sterbewunsch in Pflegeheimen: was Bewohner verändern möchten</w:t>
      </w:r>
    </w:p>
    <w:p>
      <w:r>
        <w:rPr>
          <w:i/>
          <w:color w:val="666666"/>
          <w:sz w:val="18"/>
        </w:rPr>
        <w:t>Ruedin S et al.  ·  BMC Palliat Care  ·  25.07.2026  ·  PMID 42902220</w:t>
      </w:r>
    </w:p>
    <w:p>
      <w:r>
        <w:t>Befragung von 119 Pflegeheimbewohnern (≥70 Jahre) in der Schweiz zu Lebensbejahtheit und Sterbewunsch sowie deren Wünschen nach Unterstützung dieser Lebensbejahtheit.</w:t>
      </w:r>
    </w:p>
    <w:p>
      <w:r>
        <w:rPr>
          <w:b/>
        </w:rPr>
        <w:t xml:space="preserve">Ergebnis: </w:t>
      </w:r>
      <w:r>
        <w:t>Signifikante negative Korrelation zwischen Lebensbejahtheit und Sterbewunsch (r=−0,58; p=0,001). 49 % wünschten sich keine Interventionen, 39 % waren dafür offen. Unabhängig davon nannten die meisten: qualitätvolle Kontakte (wichtigster Faktor), Schmerzlinderung, personalisierte Aktivitäten, unterstützendes Personal, Möglichkeiten, anderen zu helfen, und innere Einstellungsänderungen.</w:t>
      </w:r>
    </w:p>
    <w:p>
      <w:r>
        <w:rPr>
          <w:b/>
          <w:sz w:val="19"/>
        </w:rPr>
        <w:t xml:space="preserve">Übertragbarkeit: </w:t>
      </w:r>
      <w:r>
        <w:rPr>
          <w:sz w:val="19"/>
        </w:rPr>
        <w:t>Schweiz, Pflegeheim-Versorgung, kulturell vergleichbar, Ansätze für Deutschland relevant.</w:t>
      </w:r>
    </w:p>
    <w:p>
      <w:r>
        <w:rPr>
          <w:color w:val="5A7D3A"/>
          <w:sz w:val="18"/>
        </w:rPr>
        <w:t>https://pubmed.ncbi.nlm.nih.gov/42902220/</w:t>
      </w:r>
    </w:p>
    <w:p>
      <w:pPr>
        <w:pStyle w:val="Heading2"/>
      </w:pPr>
      <w:r>
        <w:t>Pflegende Angehörige über 60: wie Belastung Depression fördert</w:t>
      </w:r>
    </w:p>
    <w:p>
      <w:r>
        <w:rPr>
          <w:i/>
          <w:color w:val="666666"/>
          <w:sz w:val="18"/>
        </w:rPr>
        <w:t>Chaaya M et al.  ·  BMC Geriatr  ·  22.07.2026  ·  PMID 42902165</w:t>
      </w:r>
    </w:p>
    <w:p>
      <w:r>
        <w:t>Querschnittsstudie mit 434 älteren pflegenden Angehörigen (≥60 Jahre) im Libanon zu Belastung, Depressionen und Angst sowie moderierenden Effekten sozialer und finanzieller Ressourcen.</w:t>
      </w:r>
    </w:p>
    <w:p>
      <w:r>
        <w:rPr>
          <w:b/>
        </w:rPr>
        <w:t xml:space="preserve">Ergebnis: </w:t>
      </w:r>
      <w:r>
        <w:t>36,4 % hatten hohe Pflegebelastung. Hohe Belastung korrelierte mit Depression (7,65 Punkte höhere Scores; 95%-KI: 3,48–11,8) und Angst (2,84 Punkte höher; 95%-KI: 0,73–4,95). Emotionale Unterstützung reduzierte den Zusammenhang zwischen Belastung und Depression signifikant. Finanzielle Ressourcen hatten keinen moderierenden Effekt.</w:t>
      </w:r>
    </w:p>
    <w:p>
      <w:r>
        <w:rPr>
          <w:b/>
          <w:sz w:val="19"/>
        </w:rPr>
        <w:t xml:space="preserve">Übertragbarkeit: </w:t>
      </w:r>
      <w:r>
        <w:rPr>
          <w:sz w:val="19"/>
        </w:rPr>
        <w:t>Libanon, teils andere Versorgungsstrukturen, Befunde zu psychosozialen Risiken sind übertragbar.</w:t>
      </w:r>
    </w:p>
    <w:p>
      <w:r>
        <w:rPr>
          <w:color w:val="5A7D3A"/>
          <w:sz w:val="18"/>
        </w:rPr>
        <w:t>https://pubmed.ncbi.nlm.nih.gov/42902165/</w:t>
      </w:r>
    </w:p>
    <w:p>
      <w:pPr>
        <w:pStyle w:val="Heading2"/>
      </w:pPr>
      <w:r>
        <w:t>Familiale Resilienz bei Demenzpflege in China: Durchhaltevermögen statt Bewältigung</w:t>
      </w:r>
    </w:p>
    <w:p>
      <w:r>
        <w:rPr>
          <w:i/>
          <w:color w:val="666666"/>
          <w:sz w:val="18"/>
        </w:rPr>
        <w:t>Jiang D et al.  ·  Soc Sci Med  ·  13.06.2026  ·  PMID 42901680</w:t>
      </w:r>
    </w:p>
    <w:p>
      <w:r>
        <w:t>Konstruktivistische Grounded-Theory-Studie mit 36 Teilnehmern aus 21 chinesischen Familien zur Resilienz von Familieneinheiten in der Demenzbetreuung.</w:t>
      </w:r>
    </w:p>
    <w:p>
      <w:r>
        <w:rPr>
          <w:b/>
        </w:rPr>
        <w:t xml:space="preserve">Ergebnis: </w:t>
      </w:r>
      <w:r>
        <w:t>Theorie der pragmatischen Familienresilienz mit drei Komponenten: (1) Motivational Core aus filialprägter Verpflichtung und emotionalen Bindungen, (2) adaptive Architektur mit Logiken wie Ressourcenschonung, (3) praktische Strategien wie beharrliche Ausdauer (áo) und Akzeptanz von Grenzen. Paradigmenwechsel von ‚Burden-Management' zu nachhaltiger Ausdauer und familienzentrierter Unterstützung.</w:t>
      </w:r>
    </w:p>
    <w:p>
      <w:r>
        <w:rPr>
          <w:b/>
          <w:sz w:val="19"/>
        </w:rPr>
        <w:t xml:space="preserve">Übertragbarkeit: </w:t>
      </w:r>
      <w:r>
        <w:rPr>
          <w:sz w:val="19"/>
        </w:rPr>
        <w:t>China, kollektivistische Kultur; Befunde zur Familienstruktur zeigen kulturelle Unterschiede zu Deutschland.</w:t>
      </w:r>
    </w:p>
    <w:p>
      <w:r>
        <w:rPr>
          <w:color w:val="5A7D3A"/>
          <w:sz w:val="18"/>
        </w:rPr>
        <w:t>https://pubmed.ncbi.nlm.nih.gov/42901680/</w:t>
      </w:r>
    </w:p>
    <w:p>
      <w:pPr>
        <w:pStyle w:val="Heading2"/>
      </w:pPr>
      <w:r>
        <w:t>Ambulante Pflege-Intermediärklinik: weniger Notfallaufnahmen, keine Reduktion von Einweisungen</w:t>
      </w:r>
    </w:p>
    <w:p>
      <w:r>
        <w:rPr>
          <w:i/>
          <w:color w:val="666666"/>
          <w:sz w:val="18"/>
        </w:rPr>
        <w:t>Lee SY et al.  ·  West J Emerg Med  ·  05.09.2026  ·  PMID 42900934</w:t>
      </w:r>
    </w:p>
    <w:p>
      <w:r>
        <w:t>Retrospektive Kohortenstudie mit 2.698 Terminen (Durchschnittsalter 51,5 Jahre) an einer US-Akademie zur Wirksamkeit einer Nurse-Led Intermediate Care Clinic (AICC) auf Notfallaufnahmen und Krankenhauseinweisungen.</w:t>
      </w:r>
    </w:p>
    <w:p>
      <w:r>
        <w:rPr>
          <w:b/>
        </w:rPr>
        <w:t xml:space="preserve">Ergebnis: </w:t>
      </w:r>
      <w:r>
        <w:t>Patienten mit AICC-Besuch: ED-Besuchsrate 10,5 % gegenüber Fehlern 15,2 % (Risikodifferenz 4,75 %; 95%-KI: 0,56–8,93 %; p=0,03). Odds Ratio für ED-Besuch bei Fehltermin 1,54 (95%-KI: 1,07–2,21; p=0,02). Krankenhauseinweisungsraten 47,3 % vs. 53,4 % (p=0,04), aber keine signifikante Assoziation mit Fehltermin (OR 1,28; p=0,05).</w:t>
      </w:r>
    </w:p>
    <w:p>
      <w:r>
        <w:rPr>
          <w:b/>
          <w:sz w:val="19"/>
        </w:rPr>
        <w:t xml:space="preserve">Übertragbarkeit: </w:t>
      </w:r>
      <w:r>
        <w:rPr>
          <w:sz w:val="19"/>
        </w:rPr>
        <w:t>USA, vergleichbare Notfallversorgung, Intermediate-Care-Ansatz auf Deutschland übertragbar.</w:t>
      </w:r>
    </w:p>
    <w:p>
      <w:r>
        <w:rPr>
          <w:color w:val="5A7D3A"/>
          <w:sz w:val="18"/>
        </w:rPr>
        <w:t>https://pubmed.ncbi.nlm.nih.gov/42900934/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Pflege und Langzeitversorgung</dc:title>
  <dc:subject/>
  <dc:creator>Monitor Versorgungsforschung</dc:creator>
  <cp:keywords/>
  <dc:description>generated by python-docx</dc:description>
  <cp:lastModifiedBy/>
  <cp:revision>1</cp:revision>
  <dcterms:created xsi:type="dcterms:W3CDTF">2026-10-22T06:00:00Z</dcterms:created>
  <dcterms:modified xsi:type="dcterms:W3CDTF">2026-10-22T06:00:00Z</dcterms:modified>
  <cp:category/>
</cp:coreProperties>
</file>