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07.09.2026  |  7 Studien  |  pflege.m-vf.de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Simulationsbasierte Schulung für Nachwuchskräfte in Kinderchirurgie: Verbesserung der Fachkompetenz</w:t>
      </w:r>
    </w:p>
    <w:p>
      <w:r>
        <w:rPr>
          <w:i/>
          <w:color w:val="666666"/>
          <w:sz w:val="18"/>
        </w:rPr>
        <w:t>Luo W et al.  ·  Nurs Open  ·  Sept. 2026  ·  PMID 42702081</w:t>
      </w:r>
    </w:p>
    <w:p>
      <w:r>
        <w:t>Quasi-experimentelle Studie mit 60 Nachwuchspflegekräften in Kinderchirurgie zur Wirksamkeit des Jeffries Simulation Framework auf Kernkompetenzen und klinische Entscheidungsfähigkeit (Pre-Post-Design).</w:t>
      </w:r>
    </w:p>
    <w:p>
      <w:r>
        <w:rPr>
          <w:b/>
        </w:rPr>
        <w:t xml:space="preserve">Ergebnis: </w:t>
      </w:r>
      <w:r>
        <w:t>Signifikante Verbesserungen der Gesamtkompetenz (p &lt; 0,001): Score stieg von 118,48 ± 8,84 auf 142,56 ± 6,11 Punkte (Differenz 24,08 ± 9,51); klinische Entscheidungsfähigkeit von 83,92 ± 2,43 auf 91,15 ± 3,24 (Differenz 7,23 ± 4,17); Dimensionen 'klinische Pflege', 'kritisches Denken' und 'klare Ziele' zeigten signifikante Verbesserungen.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Grundprinzipien der Simulationspädagogik international, auf deutsche Kontexte adaptierbar</w:t>
      </w:r>
    </w:p>
    <w:p>
      <w:r>
        <w:rPr>
          <w:color w:val="5A7D3A"/>
          <w:sz w:val="18"/>
        </w:rPr>
        <w:t>https://pubmed.ncbi.nlm.nih.gov/42702081/</w:t>
      </w:r>
    </w:p>
    <w:p>
      <w:pPr>
        <w:pStyle w:val="Heading2"/>
      </w:pPr>
      <w:r>
        <w:t>Mobile App für pflegende Angehörige von Demenzerkrankten: Verbesserungen der Lebensqualität in randomisierter Studie</w:t>
      </w:r>
    </w:p>
    <w:p>
      <w:r>
        <w:rPr>
          <w:i/>
          <w:color w:val="666666"/>
          <w:sz w:val="18"/>
        </w:rPr>
        <w:t>Yüceer B et al.  ·  BMC Geriatr  ·  04.09.2026  ·  PMID 42701191</w:t>
      </w:r>
    </w:p>
    <w:p>
      <w:r>
        <w:t>Entwicklung und Erprobung einer nutzergerichteten Smartphone-App für pflegende Angehörige von Demenzerkrankten mit Qualifizierung anhand von Gesamtzufriedenheit und psychologischem Wohlbefinden (Baseline und 8. Woche).</w:t>
      </w:r>
    </w:p>
    <w:p>
      <w:r>
        <w:rPr>
          <w:b/>
        </w:rPr>
        <w:t xml:space="preserve">Ergebnis: </w:t>
      </w:r>
      <w:r>
        <w:t>Signifikante Verbesserungen der Gesamtlebensqualität (p &lt; 0,001) und der psychologischen Dimension (p &lt; 0,001) in der Interventionsgruppe; keine signifikanten Effekte auf Pflegebelastung, neuropsychiatrische Symptome oder Pflegerdistress; Systemusability (gute Bedienbarkeit) nach 8 Wochen dokumentiert.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Türkei/Deutschland, Aufbau vergleichbar, Intervention gut skalierbar</w:t>
      </w:r>
    </w:p>
    <w:p>
      <w:r>
        <w:rPr>
          <w:color w:val="5A7D3A"/>
          <w:sz w:val="18"/>
        </w:rPr>
        <w:t>https://pubmed.ncbi.nlm.nih.gov/42701191/</w:t>
      </w:r>
    </w:p>
    <w:p>
      <w:pPr>
        <w:pStyle w:val="Heading2"/>
      </w:pPr>
      <w:r>
        <w:t>Smartphone-gestützte Edukation für Angehörige von Patienten mit Darmkrebs: Reduktion des Unterstützungsbedarfs</w:t>
      </w:r>
    </w:p>
    <w:p>
      <w:r>
        <w:rPr>
          <w:i/>
          <w:color w:val="666666"/>
          <w:sz w:val="18"/>
        </w:rPr>
        <w:t>Nemati H et al.  ·  Support Care Cancer  ·  05.09.2026  ·  PMID 42700222</w:t>
      </w:r>
    </w:p>
    <w:p>
      <w:r>
        <w:t>Randomisierte kontrollierte Studie zur Wirkung einer 4-wöchigen Smartphone-App auf Unterstützungsbedarfe von Angehörigen von Darmkrebspatienten, gemessen mit dem SCNS-P&amp;C (Supportive Care Needs Survey).</w:t>
      </w:r>
    </w:p>
    <w:p>
      <w:r>
        <w:rPr>
          <w:b/>
        </w:rPr>
        <w:t xml:space="preserve">Ergebnis: </w:t>
      </w:r>
      <w:r>
        <w:t>Interventionsgruppe zeigte signifikante Reduktion des Gesamtbedarfs und der vier Dimensionen (Gesundheitsversorgung, psychologisch-emotional, Beruf/Soziales, Information): alle p &lt; 0,001; Effekt über 4 Wochen stabil und substanziell.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Iran, ähnliche Lebensrealitäten, niedrigschwellige digitale Technik</w:t>
      </w:r>
    </w:p>
    <w:p>
      <w:r>
        <w:rPr>
          <w:color w:val="5A7D3A"/>
          <w:sz w:val="18"/>
        </w:rPr>
        <w:t>https://pubmed.ncbi.nlm.nih.gov/42700222/</w:t>
      </w:r>
    </w:p>
    <w:p>
      <w:pPr>
        <w:pStyle w:val="Heading2"/>
      </w:pPr>
      <w:r>
        <w:t>Männliche Pflegekräfte in der Türkei: Wie Geschlechteridentität die Berufsfunktion prägt</w:t>
      </w:r>
    </w:p>
    <w:p>
      <w:r>
        <w:rPr>
          <w:i/>
          <w:color w:val="666666"/>
          <w:sz w:val="18"/>
        </w:rPr>
        <w:t>Aydin F et al.  ·  Int Nurs Rev  ·  Sept. 2026  ·  PMID 42695756</w:t>
      </w:r>
    </w:p>
    <w:p>
      <w:r>
        <w:t>Qualitative Studie mit 40 Teilnehmern (5 männliche und 5 weibliche Pflegekräfte, 5 männliche und 5 weibliche Ärzte, 10 Patienten und 10 Angehörige) zur Neudefinition der Pflegeprofessionalität durch männliche Fachkräfte in einem frauendominierten Beruf.</w:t>
      </w:r>
    </w:p>
    <w:p>
      <w:r>
        <w:rPr>
          <w:b/>
        </w:rPr>
        <w:t xml:space="preserve">Ergebnis: </w:t>
      </w:r>
      <w:r>
        <w:t>Vier Themen identifiziert: Fachkompetenz, Akzeptanz der Berufsidentität, Integration und Transformierung; männliche Pflegekräfte wurden über physische Stärke, Ruhe und Schutz positioniert, aber aus geburtshilflichen, gynäkologischen und neonatologischen Settings ausgeschlossen; weibliche Pflegekräfte wurden durch mütterliche und emotionale Attribute definiert; Ambiguität in der Ansprache von männlichen Pflegekräften und Paradoxon zwischen niedriger Berufswahrnehmung und ‚heiliger' Patientenwahrnehmung.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Türkei/europäischer Kontext, Erkenntnisse zu Geschlechternormen und Professionalität</w:t>
      </w:r>
    </w:p>
    <w:p>
      <w:r>
        <w:rPr>
          <w:color w:val="5A7D3A"/>
          <w:sz w:val="18"/>
        </w:rPr>
        <w:t>https://pubmed.ncbi.nlm.nih.gov/42695756/</w:t>
      </w:r>
    </w:p>
    <w:p>
      <w:pPr>
        <w:pStyle w:val="Heading2"/>
      </w:pPr>
      <w:r>
        <w:t>Resilienzbasierte Risikogovernance in Pflegeeinrichtungen für ältere Menschen: Strategien für nachhaltige Versorgung</w:t>
      </w:r>
    </w:p>
    <w:p>
      <w:r>
        <w:rPr>
          <w:i/>
          <w:color w:val="666666"/>
          <w:sz w:val="18"/>
        </w:rPr>
        <w:t>Li C et al.  ·  Front Public Health  ·  20.08.2026  ·  PMID 42694048</w:t>
      </w:r>
    </w:p>
    <w:p>
      <w:r>
        <w:t>Theoretische Konstruktion eines Resilienzgovernance-Systems für Versorgungsrisiken in Alteneinrichtungen auf Basis der sozialen Ökologietheorie; Analyse internationaler Pandemieerfahrungen als illustrative Beispiele zur Relevanz des Frameworks.</w:t>
      </w:r>
    </w:p>
    <w:p>
      <w:r>
        <w:rPr>
          <w:b/>
        </w:rPr>
        <w:t xml:space="preserve">Ergebnis: </w:t>
      </w:r>
      <w:r>
        <w:t>Dreidimensionales Konstruktionskonzept (Konzept-Element-Mechanismus) mit drei Kernkonzepten (Entwicklung-Sicherheit-Koproduzieren, zeitlich-räumliche Integration, Handlung-Governance-Abstimmung) und drei Operationsmechanismen (adaptive proaktive Zirkulation, Resilienzintegration, dynamische Prozessantwort); Trinity-Implementierungsstrategie aus Governance-Koordination, Politikunterstützung und Digitalisierung; Framework zeigt Effektivität in COVID-19-Fallanalysen.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theoretischer Rahmen, internationale Adaptierbarkeit für Systemreformen</w:t>
      </w:r>
    </w:p>
    <w:p>
      <w:r>
        <w:rPr>
          <w:color w:val="5A7D3A"/>
          <w:sz w:val="18"/>
        </w:rPr>
        <w:t>https://pubmed.ncbi.nlm.nih.gov/42694048/</w:t>
      </w:r>
    </w:p>
    <w:p>
      <w:pPr>
        <w:pStyle w:val="Heading2"/>
      </w:pPr>
      <w:r>
        <w:t>Kontaktloses Vitalzeichen-Monitoring in Pflege: Machbarkeitsstudie zum Radar-System</w:t>
      </w:r>
    </w:p>
    <w:p>
      <w:r>
        <w:rPr>
          <w:i/>
          <w:color w:val="666666"/>
          <w:sz w:val="18"/>
        </w:rPr>
        <w:t>Ritter-Herschbach M et al.  ·  JMIR Nurs  ·  28.08.2026  ·  PMID 42684424</w:t>
      </w:r>
    </w:p>
    <w:p>
      <w:r>
        <w:t>Pilotstudie mit 13 Pflegekräften zur Machbarkeit, Usability und Akzeptanz eines radargestützten, kontaktlosen Überwachungssystems für Atmung, Herzfrequenz und Bettaktivität in Geriatrie und Dialyse über 4 Wochen.</w:t>
      </w:r>
    </w:p>
    <w:p>
      <w:r>
        <w:rPr>
          <w:b/>
        </w:rPr>
        <w:t xml:space="preserve">Ergebnis: </w:t>
      </w:r>
      <w:r>
        <w:t>Hohe durchschnittliche Nutzungsabsicht nach 4 Wochen (Mittelwert 85,5, SD 107,7); System Usability Scale: 74,5 (SD 10,5) – gute Usability; Pflegekräfte berichteten erhöhtes Sicherheitsgefühl; potenzielle Zeiteinsparungen durch Reduktion von Prozessstörungen; technische Nachteile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Kliniken vergleichbar, Implementierungserfahrung verfügbar</w:t>
      </w:r>
    </w:p>
    <w:p>
      <w:r>
        <w:rPr>
          <w:color w:val="5A7D3A"/>
          <w:sz w:val="18"/>
        </w:rPr>
        <w:t>https://pubmed.ncbi.nlm.nih.gov/42684424/</w:t>
      </w:r>
    </w:p>
    <w:p>
      <w:pPr>
        <w:pStyle w:val="Heading2"/>
      </w:pPr>
      <w:r>
        <w:t>Reform der Pflegeausbildung in Frankreich: Neue Kompetenzstandards für autonomere Praxis</w:t>
      </w:r>
    </w:p>
    <w:p>
      <w:r>
        <w:rPr>
          <w:i/>
          <w:color w:val="666666"/>
          <w:sz w:val="18"/>
        </w:rPr>
        <w:t>Guillouët S  ·  Rev Infirm  ·  06.08.2026  ·  PMID 42674738</w:t>
      </w:r>
    </w:p>
    <w:p>
      <w:r>
        <w:t>Kurzkommentar zur Umsetzung von Gesetz 2025-581 zur Reform des Pflegeberufs in Frankreich, das durch Dekret vom 20. Februar 2026 neue Kompetenzstandards und Ausbildungsnormen setzt.</w:t>
      </w:r>
    </w:p>
    <w:p>
      <w:r>
        <w:rPr>
          <w:b/>
        </w:rPr>
        <w:t xml:space="preserve">Ergebnis: </w:t>
      </w:r>
      <w:r>
        <w:t>Neue Standards stützen mehr autonome Praxis in verschiedenen Settings, insbesondere in der Primärversorgung; Reform umfasst Neudefinition von Kompetenz und Ausbildungsanforderungen; Anpassung der Erstausbildung erforderlich, um Autonomie in komplexen Versorgungspfaden zu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EU-Kontext, vergleichbare Regulierungsziele wie deutsche Reformdiskurse</w:t>
      </w:r>
    </w:p>
    <w:p>
      <w:r>
        <w:rPr>
          <w:color w:val="5A7D3A"/>
          <w:sz w:val="18"/>
        </w:rPr>
        <w:t>https://pubmed.ncbi.nlm.nih.gov/42674738/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