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04.09.2026  |  6 Studien  |  pflege.m-vf.de</w:t>
      </w:r>
    </w:p>
    <w:p>
      <w:pPr>
        <w:pStyle w:val="Heading1"/>
      </w:pPr>
      <w:r>
        <w:t>Aufgenommen am 04.09.2026</w:t>
      </w:r>
    </w:p>
    <w:p>
      <w:pPr>
        <w:pStyle w:val="Heading2"/>
      </w:pPr>
      <w:r>
        <w:t>Pflegekomplexität in der Klinik messen: Validierung des SIPI-Instruments auf Spanisch</w:t>
      </w:r>
    </w:p>
    <w:p>
      <w:r>
        <w:rPr>
          <w:i/>
          <w:color w:val="666666"/>
          <w:sz w:val="18"/>
        </w:rPr>
        <w:t>Romero-Sánchez JM et al.  ·  J Nurs Manag  ·  2026  ·  PMID 42689965</w:t>
      </w:r>
    </w:p>
    <w:p>
      <w:r>
        <w:t>Klinimetrische Validierung eines Kurzinstruments (SIPI) zur Erfassung der pflegerischen Versorgungskomplexität an 212 Patienten in vier Innere-Medizin-Stationen.</w:t>
      </w:r>
    </w:p>
    <w:p>
      <w:r>
        <w:rPr>
          <w:b/>
        </w:rPr>
        <w:t xml:space="preserve">Ergebnis: </w:t>
      </w:r>
      <w:r>
        <w:t>Konvergenzvalidität gesichert: SIPI-Scores stiegen signifikant über vier Komplexitätsstufen. ROC-Analyse: Diskriminationsfähigkeit (AUC=0,94, 95%-KI 0,91–0,97) exzellent; optimaler Cut-off 53,50 mit Sensitivität 88,4%, Spezifität 86,0%, positiver Vorhersagewert 87,6%, negativer 86,9%. Known-Groups-Validität bestätigt.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Spanien/Italien: Validiertes Assessment für Personalbemessung, prinzipiell auch Deutschland einsetzbar.</w:t>
      </w:r>
    </w:p>
    <w:p>
      <w:r>
        <w:rPr>
          <w:color w:val="5A7D3A"/>
          <w:sz w:val="18"/>
        </w:rPr>
        <w:t>https://pubmed.ncbi.nlm.nih.gov/42689965/</w:t>
      </w:r>
    </w:p>
    <w:p>
      <w:pPr>
        <w:pStyle w:val="Heading2"/>
      </w:pPr>
      <w:r>
        <w:t>Sichtbare Führung und Mitspracheverhalten von Pflegenden: Vertrauen als Mechanismus</w:t>
      </w:r>
    </w:p>
    <w:p>
      <w:r>
        <w:rPr>
          <w:i/>
          <w:color w:val="666666"/>
          <w:sz w:val="18"/>
        </w:rPr>
        <w:t>Mohamed SAM et al.  ·  Nurs Crit Care  ·  Sept. 2026  ·  PMID 42689762</w:t>
      </w:r>
    </w:p>
    <w:p>
      <w:r>
        <w:t>Querschnittsstudie an 13 Pflegenden in ägyptischen Intensivstationen mit Strukturgleichungsmodellierung der Effekte von Management by Walking Around auf Voice Behaviour durch Vertrauen als Mediator.</w:t>
      </w:r>
    </w:p>
    <w:p>
      <w:r>
        <w:rPr>
          <w:b/>
        </w:rPr>
        <w:t xml:space="preserve">Ergebnis: </w:t>
      </w:r>
      <w:r>
        <w:t>MBWA positiv assoziiert mit Vertrauen (β=0,620, p&lt;0,001) und Voice Behaviour (β=0,468, p&lt;0,001). Vertrauen signifikant prädiktiv für Voice (β=0,471, p&lt;0,001). Indirekter Effekt von MBWA auf Voice durch Vertrauen signifikant (β=0,292, 95%-KI [0,115–0,547]). Partielle Mediation: 38,4% des Gesamteffekts vermittelt durch Vertrauen.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Ägypten: Organisationskultur übertragbar auf Kommunikationsziele in deutschsprachigen Stationen.</w:t>
      </w:r>
    </w:p>
    <w:p>
      <w:r>
        <w:rPr>
          <w:color w:val="5A7D3A"/>
          <w:sz w:val="18"/>
        </w:rPr>
        <w:t>https://pubmed.ncbi.nlm.nih.gov/42689762/</w:t>
      </w:r>
    </w:p>
    <w:p>
      <w:pPr>
        <w:pStyle w:val="Heading2"/>
      </w:pPr>
      <w:r>
        <w:t>Humanistische Pflegekompetenz durch strukturierte Reflexion: Gibbs-Zyklus wirksam</w:t>
      </w:r>
    </w:p>
    <w:p>
      <w:r>
        <w:rPr>
          <w:i/>
          <w:color w:val="666666"/>
          <w:sz w:val="18"/>
        </w:rPr>
        <w:t>Li S et al.  ·  Front Public Health  ·  19.08.2026  ·  PMID 42688377</w:t>
      </w:r>
    </w:p>
    <w:p>
      <w:r>
        <w:t>Quasi-experimentelle Studie mit 60 Pflegenden in Infektionsabteilung einer chinesischen Klinik, 30 mit Gibbs-Reflexionszyklus trainiert, 30 Kontrollgruppe mit Standardtraining.</w:t>
      </w:r>
    </w:p>
    <w:p>
      <w:r>
        <w:rPr>
          <w:b/>
        </w:rPr>
        <w:t xml:space="preserve">Ergebnis: </w:t>
      </w:r>
      <w:r>
        <w:t>Interventionsgruppe zeigte nach Training signifikant höhere Werte auf der Caring Behavior Inventory als Vorher-Werte und Kontrollgruppe (P&lt;0,05), ebenso auf der Reflective Ability Scale (P&lt;0,05). Humanistische Pflegekompetenzen und Reflexionsfähigkeit beide erhöht.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China: Schulungsmodell für ethische Reflexion, Konzept auf deutsches Klinik- und Heimsetting übertragbar.</w:t>
      </w:r>
    </w:p>
    <w:p>
      <w:r>
        <w:rPr>
          <w:color w:val="5A7D3A"/>
          <w:sz w:val="18"/>
        </w:rPr>
        <w:t>https://pubmed.ncbi.nlm.nih.gov/42688377/</w:t>
      </w:r>
    </w:p>
    <w:p>
      <w:pPr>
        <w:pStyle w:val="Heading2"/>
      </w:pPr>
      <w:r>
        <w:t>Objektive Messung von Aktivität und Schlaf bei Heimbewohnern mit Demenz mittels Sensoren</w:t>
      </w:r>
    </w:p>
    <w:p>
      <w:r>
        <w:rPr>
          <w:i/>
          <w:color w:val="666666"/>
          <w:sz w:val="18"/>
        </w:rPr>
        <w:t>Boyle LD et al.  ·  JMIR Nurs  ·  28.08.2026  ·  PMID 42684378</w:t>
      </w:r>
    </w:p>
    <w:p>
      <w:r>
        <w:t>Einjährige Beobachtungsstudie mit tragbaren Smartwatches und radar-basiertem Monitoring zur Erfassung von Bewegungsaktivität und Schlafqualität bei 11 Heimbewohnern mit Demenz.</w:t>
      </w:r>
    </w:p>
    <w:p>
      <w:r>
        <w:rPr>
          <w:b/>
        </w:rPr>
        <w:t xml:space="preserve">Ergebnis: </w:t>
      </w:r>
      <w:r>
        <w:t>Signifikante Unterschiede bei nächtlicher Aktivität (P=0,01) und vier Schlaf-Biomarkern: Gesamtschlafzeit P=0,02, Schlafeffizienz P=0,02, Wachzeit nach Schlafbeginn P=0,01, Schlaf-Regulationsindex P=0,01. Geräteakzeptanz 88–96%. Zuverlässigkeit zwischen Personen moderat bis stark (0,58–0,79), innerhalb der Gruppe schwach.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Norwegen: Gesundheitsdaten aus spezialisierten Demenzwohngruppen, übertragbar auf deutsches Heim-Monitoring.</w:t>
      </w:r>
    </w:p>
    <w:p>
      <w:r>
        <w:rPr>
          <w:color w:val="5A7D3A"/>
          <w:sz w:val="18"/>
        </w:rPr>
        <w:t>https://pubmed.ncbi.nlm.nih.gov/42684378/</w:t>
      </w:r>
    </w:p>
    <w:p>
      <w:pPr>
        <w:pStyle w:val="Heading2"/>
      </w:pPr>
      <w:r>
        <w:t>Spezialisierte Pflegeangebote für Krebskranke mit Sprachbarrieren: Wirksamkeit komplexer Interventionen</w:t>
      </w:r>
    </w:p>
    <w:p>
      <w:r>
        <w:rPr>
          <w:i/>
          <w:color w:val="666666"/>
          <w:sz w:val="18"/>
        </w:rPr>
        <w:t>Höckelmann C et al.  ·  BMJ Open  ·  01.09.2026  ·  PMID 42680490</w:t>
      </w:r>
    </w:p>
    <w:p>
      <w:r>
        <w:t>Evaluation einer pflegerischen Komplexintervention mit spezialisierter Anleitung, Telefondolmetscherdienst und mehrsprachigen Materialien für Krebspatienten mit Migrationshintergrund.</w:t>
      </w:r>
    </w:p>
    <w:p>
      <w:r>
        <w:rPr>
          <w:b/>
        </w:rPr>
        <w:t xml:space="preserve">Ergebnis: </w:t>
      </w:r>
      <w:r>
        <w:t>Geplante kontrollierte Vorher-Nachher-Studie mit 126 Teilnehmern (84 Intervention, 42 Kontrolle) und primärem Outcome psychosoziale Unterstützungsbedürftigkeit. Sekundäre Outcomes: Wissensstand, Lebensqualität, Angst und Zufriedenheit gemessen mit validierten Instrumenten (Psychosocial Risk Questionnaire). Studie zielt auf signifikante Unterschiede bei einseitigem Signifikanzniveau 5%.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Vergleichbares Migrationsaufkommen und Dokumentationssystem in Universitätskliniken.</w:t>
      </w:r>
    </w:p>
    <w:p>
      <w:r>
        <w:rPr>
          <w:color w:val="5A7D3A"/>
          <w:sz w:val="18"/>
        </w:rPr>
        <w:t>https://pubmed.ncbi.nlm.nih.gov/42680490/</w:t>
      </w:r>
    </w:p>
    <w:p>
      <w:pPr>
        <w:pStyle w:val="Heading2"/>
      </w:pPr>
      <w:r>
        <w:t>Psychisches Kapital und Stressbelastung bei Pflegenden: Erholung als Schutzfaktor</w:t>
      </w:r>
    </w:p>
    <w:p>
      <w:r>
        <w:rPr>
          <w:i/>
          <w:color w:val="666666"/>
          <w:sz w:val="18"/>
        </w:rPr>
        <w:t>Mollet MC et al.  ·  Nurs Open  ·  Sept. 2026  ·  PMID 42669211</w:t>
      </w:r>
    </w:p>
    <w:p>
      <w:r>
        <w:t>Querschnittsbefragung von 184 französischen Pflegenden zur Assoziation zwischen psychischem Kapital, Erholungsbedarf, Erfahrungen und wahrgenommener Stressbelastung mit Mediationsmodellen.</w:t>
      </w:r>
    </w:p>
    <w:p>
      <w:r>
        <w:rPr>
          <w:b/>
        </w:rPr>
        <w:t xml:space="preserve">Ergebnis: </w:t>
      </w:r>
      <w:r>
        <w:t>Psychisches Kapital assoziiert mit niedrigerem Erholungsbedarf (negativ), dieser stark assoziiert mit höherer Stressbelastung (positiv). Indirekter Effekt des psychischen Kapitals auf Stress über Erholungsbedarf statistisch signifikant, während direkter Effekt fehlte. 38,4% des Gesamteffekts laufen durch Erholung.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deutschsprachiger Raum: Arbeitsschutzrelevant, zeigt Kombinationsansatz statt isolierter Massnahmen.</w:t>
      </w:r>
    </w:p>
    <w:p>
      <w:r>
        <w:rPr>
          <w:color w:val="5A7D3A"/>
          <w:sz w:val="18"/>
        </w:rPr>
        <w:t>https://pubmed.ncbi.nlm.nih.gov/42669211/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2026-09-04T06:00:00Z</dcterms:created>
  <dcterms:modified xsi:type="dcterms:W3CDTF">2026-09-04T06:00:00Z</dcterms:modified>
  <cp:category/>
</cp:coreProperties>
</file>