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drawing>
          <wp:inline xmlns:a="http://schemas.openxmlformats.org/drawingml/2006/main" xmlns:pic="http://schemas.openxmlformats.org/drawingml/2006/picture">
            <wp:extent cx="1737360" cy="459641"/>
            <wp:docPr id="1" name="Picture 1"/>
            <wp:cNvGraphicFramePr>
              <a:graphicFrameLocks noChangeAspect="1"/>
            </wp:cNvGraphicFramePr>
            <a:graphic>
              <a:graphicData uri="http://schemas.openxmlformats.org/drawingml/2006/picture">
                <pic:pic>
                  <pic:nvPicPr>
                    <pic:cNvPr id="0" name="mvf-logo.png"/>
                    <pic:cNvPicPr/>
                  </pic:nvPicPr>
                  <pic:blipFill>
                    <a:blip r:embed="rId9"/>
                    <a:stretch>
                      <a:fillRect/>
                    </a:stretch>
                  </pic:blipFill>
                  <pic:spPr>
                    <a:xfrm>
                      <a:off x="0" y="0"/>
                      <a:ext cx="1737360" cy="459641"/>
                    </a:xfrm>
                    <a:prstGeom prst="rect"/>
                  </pic:spPr>
                </pic:pic>
              </a:graphicData>
            </a:graphic>
          </wp:inline>
        </w:drawing>
      </w:r>
    </w:p>
    <w:p>
      <w:r>
        <w:rPr>
          <w:color w:val="0051A1"/>
          <w:sz w:val="19"/>
        </w:rPr>
        <w:t>Ein Service des Knowledge-Hubs von Monitor Versorgungsforschung. Täglich automatisiert KI-kuratiert aus PubMed und auf Deutsch übersetzt.</w:t>
      </w:r>
    </w:p>
    <w:p>
      <w:pPr>
        <w:pStyle w:val="Title"/>
      </w:pPr>
      <w:r>
        <w:t>Studienarchiv - Pflege und Langzeitversorgung</w:t>
      </w:r>
    </w:p>
    <w:p>
      <w:r>
        <w:rPr>
          <w:i/>
          <w:color w:val="666666"/>
          <w:sz w:val="18"/>
        </w:rPr>
        <w:t>Stand: 04.09.2026  |  75 Studien  |  pflege.m-vf.de</w:t>
      </w:r>
    </w:p>
    <w:p>
      <w:pPr>
        <w:pStyle w:val="Heading1"/>
      </w:pPr>
      <w:r>
        <w:t>Aufgenommen am 04.09.2026</w:t>
      </w:r>
    </w:p>
    <w:p>
      <w:pPr>
        <w:pStyle w:val="Heading2"/>
      </w:pPr>
      <w:r>
        <w:t>Pflegekomplexität in der Klinik messen: Validierung des SIPI-Instruments auf Spanisch</w:t>
      </w:r>
    </w:p>
    <w:p>
      <w:r>
        <w:rPr>
          <w:i/>
          <w:color w:val="666666"/>
          <w:sz w:val="18"/>
        </w:rPr>
        <w:t>Romero-Sánchez JM et al.  ·  J Nurs Manag  ·  2026  ·  PMID 42689965</w:t>
      </w:r>
    </w:p>
    <w:p>
      <w:r>
        <w:t>Klinimetrische Validierung eines Kurzinstruments (SIPI) zur Erfassung der pflegerischen Versorgungskomplexität an 212 Patienten in vier Innere-Medizin-Stationen.</w:t>
      </w:r>
    </w:p>
    <w:p>
      <w:r>
        <w:rPr>
          <w:b/>
        </w:rPr>
        <w:t xml:space="preserve">Ergebnis: </w:t>
      </w:r>
      <w:r>
        <w:t>Konvergenzvalidität gesichert: SIPI-Scores stiegen signifikant über vier Komplexitätsstufen. ROC-Analyse: Diskriminationsfähigkeit (AUC=0,94, 95%-KI 0,91–0,97) exzellent; optimaler Cut-off 53,50 mit Sensitivität 88,4%, Spezifität 86,0%, positiver Vorhersagewert 87,6%, negativer 86,9%. Known-Groups-Validität bestätigt.</w:t>
      </w:r>
    </w:p>
    <w:p>
      <w:r>
        <w:rPr>
          <w:b/>
          <w:sz w:val="19"/>
        </w:rPr>
        <w:t xml:space="preserve">Übertragbarkeit: </w:t>
      </w:r>
      <w:r>
        <w:rPr>
          <w:sz w:val="19"/>
        </w:rPr>
        <w:t>Spanien/Italien: Validiertes Assessment für Personalbemessung, prinzipiell auch Deutschland einsetzbar.</w:t>
      </w:r>
    </w:p>
    <w:p>
      <w:r>
        <w:rPr>
          <w:color w:val="5A7D3A"/>
          <w:sz w:val="18"/>
        </w:rPr>
        <w:t>https://pubmed.ncbi.nlm.nih.gov/42689965/</w:t>
      </w:r>
    </w:p>
    <w:p>
      <w:pPr>
        <w:pStyle w:val="Heading2"/>
      </w:pPr>
      <w:r>
        <w:t>Sichtbare Führung und Mitspracheverhalten von Pflegenden: Vertrauen als Mechanismus</w:t>
      </w:r>
    </w:p>
    <w:p>
      <w:r>
        <w:rPr>
          <w:i/>
          <w:color w:val="666666"/>
          <w:sz w:val="18"/>
        </w:rPr>
        <w:t>Mohamed SAM et al.  ·  Nurs Crit Care  ·  Sept. 2026  ·  PMID 42689762</w:t>
      </w:r>
    </w:p>
    <w:p>
      <w:r>
        <w:t>Querschnittsstudie an 13 Pflegenden in ägyptischen Intensivstationen mit Strukturgleichungsmodellierung der Effekte von Management by Walking Around auf Voice Behaviour durch Vertrauen als Mediator.</w:t>
      </w:r>
    </w:p>
    <w:p>
      <w:r>
        <w:rPr>
          <w:b/>
        </w:rPr>
        <w:t xml:space="preserve">Ergebnis: </w:t>
      </w:r>
      <w:r>
        <w:t>MBWA positiv assoziiert mit Vertrauen (β=0,620, p&lt;0,001) und Voice Behaviour (β=0,468, p&lt;0,001). Vertrauen signifikant prädiktiv für Voice (β=0,471, p&lt;0,001). Indirekter Effekt von MBWA auf Voice durch Vertrauen signifikant (β=0,292, 95%-KI [0,115–0,547]). Partielle Mediation: 38,4% des Gesamteffekts vermittelt durch Vertrauen.</w:t>
      </w:r>
    </w:p>
    <w:p>
      <w:r>
        <w:rPr>
          <w:b/>
          <w:sz w:val="19"/>
        </w:rPr>
        <w:t xml:space="preserve">Übertragbarkeit: </w:t>
      </w:r>
      <w:r>
        <w:rPr>
          <w:sz w:val="19"/>
        </w:rPr>
        <w:t>Ägypten: Organisationskultur übertragbar auf Kommunikationsziele in deutschsprachigen Stationen.</w:t>
      </w:r>
    </w:p>
    <w:p>
      <w:r>
        <w:rPr>
          <w:color w:val="5A7D3A"/>
          <w:sz w:val="18"/>
        </w:rPr>
        <w:t>https://pubmed.ncbi.nlm.nih.gov/42689762/</w:t>
      </w:r>
    </w:p>
    <w:p>
      <w:pPr>
        <w:pStyle w:val="Heading2"/>
      </w:pPr>
      <w:r>
        <w:t>Humanistische Pflegekompetenz durch strukturierte Reflexion: Gibbs-Zyklus wirksam</w:t>
      </w:r>
    </w:p>
    <w:p>
      <w:r>
        <w:rPr>
          <w:i/>
          <w:color w:val="666666"/>
          <w:sz w:val="18"/>
        </w:rPr>
        <w:t>Li S et al.  ·  Front Public Health  ·  19.08.2026  ·  PMID 42688377</w:t>
      </w:r>
    </w:p>
    <w:p>
      <w:r>
        <w:t>Quasi-experimentelle Studie mit 60 Pflegenden in Infektionsabteilung einer chinesischen Klinik, 30 mit Gibbs-Reflexionszyklus trainiert, 30 Kontrollgruppe mit Standardtraining.</w:t>
      </w:r>
    </w:p>
    <w:p>
      <w:r>
        <w:rPr>
          <w:b/>
        </w:rPr>
        <w:t xml:space="preserve">Ergebnis: </w:t>
      </w:r>
      <w:r>
        <w:t>Interventionsgruppe zeigte nach Training signifikant höhere Werte auf der Caring Behavior Inventory als Vorher-Werte und Kontrollgruppe (P&lt;0,05), ebenso auf der Reflective Ability Scale (P&lt;0,05). Humanistische Pflegekompetenzen und Reflexionsfähigkeit beide erhöht.</w:t>
      </w:r>
    </w:p>
    <w:p>
      <w:r>
        <w:rPr>
          <w:b/>
          <w:sz w:val="19"/>
        </w:rPr>
        <w:t xml:space="preserve">Übertragbarkeit: </w:t>
      </w:r>
      <w:r>
        <w:rPr>
          <w:sz w:val="19"/>
        </w:rPr>
        <w:t>China: Schulungsmodell für ethische Reflexion, Konzept auf deutsches Klinik- und Heimsetting übertragbar.</w:t>
      </w:r>
    </w:p>
    <w:p>
      <w:r>
        <w:rPr>
          <w:color w:val="5A7D3A"/>
          <w:sz w:val="18"/>
        </w:rPr>
        <w:t>https://pubmed.ncbi.nlm.nih.gov/42688377/</w:t>
      </w:r>
    </w:p>
    <w:p>
      <w:pPr>
        <w:pStyle w:val="Heading2"/>
      </w:pPr>
      <w:r>
        <w:t>Objektive Messung von Aktivität und Schlaf bei Heimbewohnern mit Demenz mittels Sensoren</w:t>
      </w:r>
    </w:p>
    <w:p>
      <w:r>
        <w:rPr>
          <w:i/>
          <w:color w:val="666666"/>
          <w:sz w:val="18"/>
        </w:rPr>
        <w:t>Boyle LD et al.  ·  JMIR Nurs  ·  28.08.2026  ·  PMID 42684378</w:t>
      </w:r>
    </w:p>
    <w:p>
      <w:r>
        <w:t>Einjährige Beobachtungsstudie mit tragbaren Smartwatches und radar-basiertem Monitoring zur Erfassung von Bewegungsaktivität und Schlafqualität bei 11 Heimbewohnern mit Demenz.</w:t>
      </w:r>
    </w:p>
    <w:p>
      <w:r>
        <w:rPr>
          <w:b/>
        </w:rPr>
        <w:t xml:space="preserve">Ergebnis: </w:t>
      </w:r>
      <w:r>
        <w:t>Signifikante Unterschiede bei nächtlicher Aktivität (P=0,01) und vier Schlaf-Biomarkern: Gesamtschlafzeit P=0,02, Schlafeffizienz P=0,02, Wachzeit nach Schlafbeginn P=0,01, Schlaf-Regulationsindex P=0,01. Geräteakzeptanz 88–96%. Zuverlässigkeit zwischen Personen moderat bis stark (0,58–0,79), innerhalb der Gruppe schwach.</w:t>
      </w:r>
    </w:p>
    <w:p>
      <w:r>
        <w:rPr>
          <w:b/>
          <w:sz w:val="19"/>
        </w:rPr>
        <w:t xml:space="preserve">Übertragbarkeit: </w:t>
      </w:r>
      <w:r>
        <w:rPr>
          <w:sz w:val="19"/>
        </w:rPr>
        <w:t>Norwegen: Gesundheitsdaten aus spezialisierten Demenzwohngruppen, übertragbar auf deutsches Heim-Monitoring.</w:t>
      </w:r>
    </w:p>
    <w:p>
      <w:r>
        <w:rPr>
          <w:color w:val="5A7D3A"/>
          <w:sz w:val="18"/>
        </w:rPr>
        <w:t>https://pubmed.ncbi.nlm.nih.gov/42684378/</w:t>
      </w:r>
    </w:p>
    <w:p>
      <w:pPr>
        <w:pStyle w:val="Heading2"/>
      </w:pPr>
      <w:r>
        <w:t>Spezialisierte Pflegeangebote für Krebskranke mit Sprachbarrieren: Wirksamkeit komplexer Interventionen</w:t>
      </w:r>
    </w:p>
    <w:p>
      <w:r>
        <w:rPr>
          <w:i/>
          <w:color w:val="666666"/>
          <w:sz w:val="18"/>
        </w:rPr>
        <w:t>Höckelmann C et al.  ·  BMJ Open  ·  01.09.2026  ·  PMID 42680490</w:t>
      </w:r>
    </w:p>
    <w:p>
      <w:r>
        <w:t>Evaluation einer pflegerischen Komplexintervention mit spezialisierter Anleitung, Telefondolmetscherdienst und mehrsprachigen Materialien für Krebspatienten mit Migrationshintergrund.</w:t>
      </w:r>
    </w:p>
    <w:p>
      <w:r>
        <w:rPr>
          <w:b/>
        </w:rPr>
        <w:t xml:space="preserve">Ergebnis: </w:t>
      </w:r>
      <w:r>
        <w:t>Geplante kontrollierte Vorher-Nachher-Studie mit 126 Teilnehmern (84 Intervention, 42 Kontrolle) und primärem Outcome psychosoziale Unterstützungsbedürftigkeit. Sekundäre Outcomes: Wissensstand, Lebensqualität, Angst und Zufriedenheit gemessen mit validierten Instrumenten (Psychosocial Risk Questionnaire). Studie zielt auf signifikante Unterschiede bei einseitigem Signifikanzniveau 5%.</w:t>
      </w:r>
    </w:p>
    <w:p>
      <w:r>
        <w:rPr>
          <w:b/>
          <w:sz w:val="19"/>
        </w:rPr>
        <w:t xml:space="preserve">Übertragbarkeit: </w:t>
      </w:r>
      <w:r>
        <w:rPr>
          <w:sz w:val="19"/>
        </w:rPr>
        <w:t>Deutschland: Vergleichbares Migrationsaufkommen und Dokumentationssystem in Universitätskliniken.</w:t>
      </w:r>
    </w:p>
    <w:p>
      <w:r>
        <w:rPr>
          <w:color w:val="5A7D3A"/>
          <w:sz w:val="18"/>
        </w:rPr>
        <w:t>https://pubmed.ncbi.nlm.nih.gov/42680490/</w:t>
      </w:r>
    </w:p>
    <w:p>
      <w:pPr>
        <w:pStyle w:val="Heading2"/>
      </w:pPr>
      <w:r>
        <w:t>Psychisches Kapital und Stressbelastung bei Pflegenden: Erholung als Schutzfaktor</w:t>
      </w:r>
    </w:p>
    <w:p>
      <w:r>
        <w:rPr>
          <w:i/>
          <w:color w:val="666666"/>
          <w:sz w:val="18"/>
        </w:rPr>
        <w:t>Mollet MC et al.  ·  Nurs Open  ·  Sept. 2026  ·  PMID 42669211</w:t>
      </w:r>
    </w:p>
    <w:p>
      <w:r>
        <w:t>Querschnittsbefragung von 184 französischen Pflegenden zur Assoziation zwischen psychischem Kapital, Erholungsbedarf, Erfahrungen und wahrgenommener Stressbelastung mit Mediationsmodellen.</w:t>
      </w:r>
    </w:p>
    <w:p>
      <w:r>
        <w:rPr>
          <w:b/>
        </w:rPr>
        <w:t xml:space="preserve">Ergebnis: </w:t>
      </w:r>
      <w:r>
        <w:t>Psychisches Kapital assoziiert mit niedrigerem Erholungsbedarf (negativ), dieser stark assoziiert mit höherer Stressbelastung (positiv). Indirekter Effekt des psychischen Kapitals auf Stress über Erholungsbedarf statistisch signifikant, während direkter Effekt fehlte. 38,4% des Gesamteffekts laufen durch Erholung.</w:t>
      </w:r>
    </w:p>
    <w:p>
      <w:r>
        <w:rPr>
          <w:b/>
          <w:sz w:val="19"/>
        </w:rPr>
        <w:t xml:space="preserve">Übertragbarkeit: </w:t>
      </w:r>
      <w:r>
        <w:rPr>
          <w:sz w:val="19"/>
        </w:rPr>
        <w:t>Frankreich, deutschsprachiger Raum: Arbeitsschutzrelevant, zeigt Kombinationsansatz statt isolierter Massnahmen.</w:t>
      </w:r>
    </w:p>
    <w:p>
      <w:r>
        <w:rPr>
          <w:color w:val="5A7D3A"/>
          <w:sz w:val="18"/>
        </w:rPr>
        <w:t>https://pubmed.ncbi.nlm.nih.gov/42669211/</w:t>
      </w:r>
    </w:p>
    <w:p>
      <w:pPr>
        <w:pStyle w:val="Heading1"/>
      </w:pPr>
      <w:r>
        <w:t>Aufgenommen am 03.09.2026</w:t>
      </w:r>
    </w:p>
    <w:p>
      <w:pPr>
        <w:pStyle w:val="Heading2"/>
      </w:pPr>
      <w:r>
        <w:t>Transitionsbereitschaft bei Jugendlichen mit Osteosarkom: Spiele-gestützte Pflegeleitung</w:t>
      </w:r>
    </w:p>
    <w:p>
      <w:r>
        <w:rPr>
          <w:i/>
          <w:color w:val="666666"/>
          <w:sz w:val="18"/>
        </w:rPr>
        <w:t>Ma J et al.  ·  Psychooncology  ·  Sept. 2026  ·  PMID 42684068</w:t>
      </w:r>
    </w:p>
    <w:p>
      <w:r>
        <w:t>Cluster-nicht-randomisierte Kontrolstudie (Intervention: n=32; Kontrolle: n=27 Jugendliche) mit dem Nurse-Navigated Game-Based Intervention (N2-GBI)-Programm neben Standardversorgung vs. Standardversorgung allein.</w:t>
      </w:r>
    </w:p>
    <w:p>
      <w:r>
        <w:rPr>
          <w:b/>
        </w:rPr>
        <w:t xml:space="preserve">Ergebnis: </w:t>
      </w:r>
      <w:r>
        <w:t>Transitionsbereitschaft (SMART-RxT): T1 signifikant höher in Intervention (β = 8,83, p &lt; 0,001), T2 (β = 7,97, p = 0,001). Krebssorge signifikant gesenkt (p = 0,009), Patientenaktivierung erhöht (p = 0,001), Transitionserwartung nicht signifikant (p = 0,056). Effekt: Kleine bis mittlere Effektstärken, klinisch bedeutsam.</w:t>
      </w:r>
    </w:p>
    <w:p>
      <w:r>
        <w:rPr>
          <w:b/>
          <w:sz w:val="19"/>
        </w:rPr>
        <w:t xml:space="preserve">Übertragbarkeit: </w:t>
      </w:r>
      <w:r>
        <w:rPr>
          <w:sz w:val="19"/>
        </w:rPr>
        <w:t>China (Universitätskliniken), Transitionsversorgung unabhängig von Gesundheitssystem</w:t>
      </w:r>
    </w:p>
    <w:p>
      <w:r>
        <w:rPr>
          <w:color w:val="5A7D3A"/>
          <w:sz w:val="18"/>
        </w:rPr>
        <w:t>https://pubmed.ncbi.nlm.nih.gov/42684068/</w:t>
      </w:r>
    </w:p>
    <w:p>
      <w:pPr>
        <w:pStyle w:val="Heading2"/>
      </w:pPr>
      <w:r>
        <w:t>Influenza-Impfquoten Gesundheitspersonal: Barrieren und Enabler Deutschland–China</w:t>
      </w:r>
    </w:p>
    <w:p>
      <w:r>
        <w:rPr>
          <w:i/>
          <w:color w:val="666666"/>
          <w:sz w:val="18"/>
        </w:rPr>
        <w:t>Sanftenberg L et al.  ·  BMC Public Health  ·  01.09.2026  ·  PMID 42681616</w:t>
      </w:r>
    </w:p>
    <w:p>
      <w:r>
        <w:t>Zwei Querschnittsbefragungen 2024/2025 in Deutschland (n=8.351 aus 72 Kliniken) und China (n=689 aus 9 Kliniken) zu psychologischen und kontextuellen Determinanten der Impfbereitschaft bei Ärztinnen und Pflegenden.</w:t>
      </w:r>
    </w:p>
    <w:p>
      <w:r>
        <w:rPr>
          <w:b/>
        </w:rPr>
        <w:t xml:space="preserve">Ergebnis: </w:t>
      </w:r>
      <w:r>
        <w:t>Impfquoten: 80,9% deutsche Ärztinnen vs. 28,8% chinesische; 48,7% deutsche Pflegende vs. 32,2% chinesische. Hauptdeterminanten: Vertrauen (DE: 3,9; CN: 4,4), Verantwortung (DE: 3,8; CN: 4,5). Deutsche Ablehnung auf individuelle Aspekte, Chinesinnen auf Organisationsfaktoren zurückgeführt. Effektive Interventionen: kostenlose Impfung, Bildung, Maßnahmen.</w:t>
      </w:r>
    </w:p>
    <w:p>
      <w:r>
        <w:rPr>
          <w:b/>
          <w:sz w:val="19"/>
        </w:rPr>
        <w:t xml:space="preserve">Übertragbarkeit: </w:t>
      </w:r>
      <w:r>
        <w:rPr>
          <w:sz w:val="19"/>
        </w:rPr>
        <w:t>Deutschland, direkt anwendbare Abläufe und Personaltypen, CFIR-Framework</w:t>
      </w:r>
    </w:p>
    <w:p>
      <w:r>
        <w:rPr>
          <w:color w:val="5A7D3A"/>
          <w:sz w:val="18"/>
        </w:rPr>
        <w:t>https://pubmed.ncbi.nlm.nih.gov/42681616/</w:t>
      </w:r>
    </w:p>
    <w:p>
      <w:pPr>
        <w:pStyle w:val="Heading2"/>
      </w:pPr>
      <w:r>
        <w:t>Wellbeing-Messung bei Pflegenden: Konsensualisierte Ergebnis-Kernmenge</w:t>
      </w:r>
    </w:p>
    <w:p>
      <w:r>
        <w:rPr>
          <w:i/>
          <w:color w:val="666666"/>
          <w:sz w:val="18"/>
        </w:rPr>
        <w:t>Klepacz N et al.  ·  J Nurs Manag  ·  2026  ·  PMID 42675661</w:t>
      </w:r>
    </w:p>
    <w:p>
      <w:r>
        <w:t>Eine Delphi-Studie mit zwei Befragungsrunden entwickelte einen Konsens über Outcomes zur Erfassung des Pflegenden-Wohlbefindens; 54 Experten (Runde 1) und 45 (beide Runden) bewerteten 43 voridentifizierte Outcomes.</w:t>
      </w:r>
    </w:p>
    <w:p>
      <w:r>
        <w:rPr>
          <w:b/>
        </w:rPr>
        <w:t xml:space="preserve">Ergebnis: </w:t>
      </w:r>
      <w:r>
        <w:t>13 Outcomes erfüllten das Konsenskriterium (≥ 75% Zustimmung): allgemeines Wohlbefinden, Gesundheit, Schlaf, positive Beziehungen, Sicherheit, psychologische Bedürfniserfüllung, psychologische Sicherheit, Arbeitszufriedenheit, Moral, Work-Life-Balance, Compassion Satisfaction, Patientenzufriedenheit, gute Pflegepraxis.</w:t>
      </w:r>
    </w:p>
    <w:p>
      <w:r>
        <w:rPr>
          <w:b/>
          <w:sz w:val="19"/>
        </w:rPr>
        <w:t xml:space="preserve">Übertragbarkeit: </w:t>
      </w:r>
      <w:r>
        <w:rPr>
          <w:sz w:val="19"/>
        </w:rPr>
        <w:t>UK-NHS-Kontext, Konsensus international übertragbar, weitere Instrument-Evaluation notwendig</w:t>
      </w:r>
    </w:p>
    <w:p>
      <w:r>
        <w:rPr>
          <w:color w:val="5A7D3A"/>
          <w:sz w:val="18"/>
        </w:rPr>
        <w:t>https://pubmed.ncbi.nlm.nih.gov/42675661/</w:t>
      </w:r>
    </w:p>
    <w:p>
      <w:pPr>
        <w:pStyle w:val="Heading2"/>
      </w:pPr>
      <w:r>
        <w:t>Pflegeleitung bei Morbus Crohn und Colitis ulcerosa: Selbstmanagement-Intervention mit 12-Monats-Effekt</w:t>
      </w:r>
    </w:p>
    <w:p>
      <w:r>
        <w:rPr>
          <w:i/>
          <w:color w:val="666666"/>
          <w:sz w:val="18"/>
        </w:rPr>
        <w:t>Rivera-Sequeiros A et al.  ·  Minerva Gastroenterol (Torino)  ·  Sept. 2026  ·  PMID 42670814</w:t>
      </w:r>
    </w:p>
    <w:p>
      <w:r>
        <w:t>Eine Single-Center-Studie untersuchte psychosoziale Effekte eines strukturierten, pflegegeleiten Selbstmanagement-Programmes bei 60 Patienten mit IBD in Remission über 12 Monate.</w:t>
      </w:r>
    </w:p>
    <w:p>
      <w:r>
        <w:rPr>
          <w:b/>
        </w:rPr>
        <w:t xml:space="preserve">Ergebnis: </w:t>
      </w:r>
      <w:r>
        <w:t>Health-Related Quality of Life (HRQoL) verbesserte sich signifikant über 12 Monate (β = 6,18, 95%-KI: 3,53–8,82, p &lt; 0,001). Depressive Symptome sanken nachhaltig (p = 0,036), wahrgenommener Stress zeigte abnehmenden Trend. Familiäre Funktionsfähigkeit moderierte Effekte auf Stress, Depression und Angst. Ergebnis war klinisch bedeutsam und nachhaltig.</w:t>
      </w:r>
    </w:p>
    <w:p>
      <w:r>
        <w:rPr>
          <w:b/>
          <w:sz w:val="19"/>
        </w:rPr>
        <w:t xml:space="preserve">Übertragbarkeit: </w:t>
      </w:r>
      <w:r>
        <w:rPr>
          <w:sz w:val="19"/>
        </w:rPr>
        <w:t>Spanien, vergleichbares ambulantes Versorgungssystem, IBD-spezifische Outcomes</w:t>
      </w:r>
    </w:p>
    <w:p>
      <w:r>
        <w:rPr>
          <w:color w:val="5A7D3A"/>
          <w:sz w:val="18"/>
        </w:rPr>
        <w:t>https://pubmed.ncbi.nlm.nih.gov/42670814/</w:t>
      </w:r>
    </w:p>
    <w:p>
      <w:pPr>
        <w:pStyle w:val="Heading2"/>
      </w:pPr>
      <w:r>
        <w:t>Strukturierte PROM-Visite: Symptombelas­tung und Lebensqualität bei Myeloproliferation</w:t>
      </w:r>
    </w:p>
    <w:p>
      <w:r>
        <w:rPr>
          <w:i/>
          <w:color w:val="666666"/>
          <w:sz w:val="18"/>
        </w:rPr>
        <w:t>Berardinelli D et al.  ·  Nurs Open  ·  Sept. 2026  ·  PMID 42669201</w:t>
      </w:r>
    </w:p>
    <w:p>
      <w:r>
        <w:t>Observative Querschnittsstudie mit 102 Patienten, die eine strukturierte, PROMs-gestützte Pflegefachvisite erhielten; Erfassung von Symptomen, psychologischem Distress und Lebensqualität.</w:t>
      </w:r>
    </w:p>
    <w:p>
      <w:r>
        <w:rPr>
          <w:b/>
        </w:rPr>
        <w:t xml:space="preserve">Ergebnis: </w:t>
      </w:r>
      <w:r>
        <w:t>85% symptomal (Fatigue 72%), 42% Angst, 44% Depressivität. Globale Gesundheit mittel (70,7 ± 21,3). Alle moderaten bis schweren Symptome (Fatigue, Inaktivität, Schmerz, Juckreiz, Bauchbeschwerden) stark mit eingeschränkter Globalgesundheit assoziiert (p &lt; 0,001). 43% Patienten benötigen Unterstützung für aktives Krankheitsmanagement. Besuchszufriedenheit sehr hoch (9,3 ± 1,3/10).</w:t>
      </w:r>
    </w:p>
    <w:p>
      <w:r>
        <w:rPr>
          <w:b/>
          <w:sz w:val="19"/>
        </w:rPr>
        <w:t xml:space="preserve">Übertragbarkeit: </w:t>
      </w:r>
      <w:r>
        <w:rPr>
          <w:sz w:val="19"/>
        </w:rPr>
        <w:t>Italien (Universitätsklinik), patientenberichtete Outcomes sind Pflegeverantwortung</w:t>
      </w:r>
    </w:p>
    <w:p>
      <w:r>
        <w:rPr>
          <w:color w:val="5A7D3A"/>
          <w:sz w:val="18"/>
        </w:rPr>
        <w:t>https://pubmed.ncbi.nlm.nih.gov/42669201/</w:t>
      </w:r>
    </w:p>
    <w:p>
      <w:pPr>
        <w:pStyle w:val="Heading2"/>
      </w:pPr>
      <w:r>
        <w:t>Sozial-assistive Roboter in der Altenflege: Erfahrungen und Dilemmata von Pflegenden</w:t>
      </w:r>
    </w:p>
    <w:p>
      <w:r>
        <w:rPr>
          <w:i/>
          <w:color w:val="666666"/>
          <w:sz w:val="18"/>
        </w:rPr>
        <w:t>Bubeck M et al.  ·  Arch Gerontol Geriatr  ·  28.07.2026  ·  PMID 42603460</w:t>
      </w:r>
    </w:p>
    <w:p>
      <w:r>
        <w:t>Qualitative Studie mit 12 semi-strukturierten Interviews von 14 Pflegekräften in deutschen Altenheimen zu praktischen und ethischen Erfahrungen mit Roboter-Implementierung.</w:t>
      </w:r>
    </w:p>
    <w:p>
      <w:r>
        <w:rPr>
          <w:b/>
        </w:rPr>
        <w:t xml:space="preserve">Ergebnis: </w:t>
      </w:r>
      <w:r>
        <w:t>Implementierung als vierphasiger dynamischer Prozess: (1) Orientierung, (2) Adopter &amp; Einführung, (3) Routineerhalt, (4) Neubewertung. Pflegende balancierten technologische Möglichkeiten, Organisationserwartungen und Bewohnerbedarf. Zentrale Befunde: Professionelles Urteil unterstützen, Kontextsensitivität fördern, phasengerechte Unterstützung nötig.</w:t>
      </w:r>
    </w:p>
    <w:p>
      <w:r>
        <w:rPr>
          <w:b/>
          <w:sz w:val="19"/>
        </w:rPr>
        <w:t xml:space="preserve">Übertragbarkeit: </w:t>
      </w:r>
      <w:r>
        <w:rPr>
          <w:sz w:val="19"/>
        </w:rPr>
        <w:t>Deutschland, qualitative Erarbeitung lokaler Implementierungsbarrieren und -chancen</w:t>
      </w:r>
    </w:p>
    <w:p>
      <w:r>
        <w:rPr>
          <w:color w:val="5A7D3A"/>
          <w:sz w:val="18"/>
        </w:rPr>
        <w:t>https://pubmed.ncbi.nlm.nih.gov/42603460/</w:t>
      </w:r>
    </w:p>
    <w:p>
      <w:pPr>
        <w:pStyle w:val="Heading1"/>
      </w:pPr>
      <w:r>
        <w:t>Aufgenommen am 02.09.2026</w:t>
      </w:r>
    </w:p>
    <w:p>
      <w:pPr>
        <w:pStyle w:val="Heading2"/>
      </w:pPr>
      <w:r>
        <w:t xml:space="preserve"> Akzeptanz- und Commitment-Therapie für pflegende Angehörige: was verbessert sich an ihrer Belastung?</w:t>
      </w:r>
    </w:p>
    <w:p>
      <w:r>
        <w:rPr>
          <w:i/>
          <w:color w:val="666666"/>
          <w:sz w:val="18"/>
        </w:rPr>
        <w:t>Teng L et al.  ·  Medicine (Baltimore)  ·  28.08.2026  ·  PMID 42675746</w:t>
      </w:r>
    </w:p>
    <w:p>
      <w:r>
        <w:t xml:space="preserve"> Randomisierte kontrollierte Studie mit 106 pflegenden Angehörigen von Stoma-Patienten in China, Vergleich: ACT (12 Wochen, n=53) versus Standardpflege (n=53).</w:t>
      </w:r>
    </w:p>
    <w:p>
      <w:r>
        <w:rPr>
          <w:b/>
        </w:rPr>
        <w:t xml:space="preserve">Ergebnis: </w:t>
      </w:r>
      <w:r>
        <w:t xml:space="preserve"> Psychologische Resilienz (Connor-Davidson): 24,94±7,69 vs 20,89±6,66, p&lt;0,05. Psychologische Flexibilität (AAQ-II): 19,57±7,78 vs 24,04±8,39, p&lt;0,05. Caregiving-Fähigkeit (FCTI): 7,75±3,69 vs 12,57±6,76, p&lt;0,05. Benefit Finding: 86,58±7,47 vs 78,75±8,12, p&lt;0,05. ACT führte zu klinisch relevanten Verbesserungen in Resilienz, Flexibilität, Caregiving und Benefit-Finding.</w:t>
      </w:r>
    </w:p>
    <w:p>
      <w:r>
        <w:rPr>
          <w:b/>
          <w:sz w:val="19"/>
        </w:rPr>
        <w:t xml:space="preserve">Übertragbarkeit: </w:t>
      </w:r>
      <w:r>
        <w:rPr>
          <w:sz w:val="19"/>
        </w:rPr>
        <w:t>China, aber Mechanismus der Belastungsreduktion übertragbar, ACT international etabliert.</w:t>
      </w:r>
    </w:p>
    <w:p>
      <w:r>
        <w:rPr>
          <w:color w:val="5A7D3A"/>
          <w:sz w:val="18"/>
        </w:rPr>
        <w:t>https://pubmed.ncbi.nlm.nih.gov/42675746/</w:t>
      </w:r>
    </w:p>
    <w:p>
      <w:pPr>
        <w:pStyle w:val="Heading2"/>
      </w:pPr>
      <w:r>
        <w:t xml:space="preserve"> Pflegefachkräfte im Case Management ambulanter älterer Menschen: was bewirkt es wirklich?</w:t>
      </w:r>
    </w:p>
    <w:p>
      <w:r>
        <w:rPr>
          <w:i/>
          <w:color w:val="666666"/>
          <w:sz w:val="18"/>
        </w:rPr>
        <w:t>Mieda K et al.  ·  Int J Older People Nurs  ·  Sept. 2026  ·  PMID 42675567</w:t>
      </w:r>
    </w:p>
    <w:p>
      <w:r>
        <w:t xml:space="preserve"> Systematischer Review und Metaanalyse von 15 RCTs mit 7995 älteren Menschen zu Case-Management-Interventionen durch Pflegefachkräfte versus Standardversorgung.</w:t>
      </w:r>
    </w:p>
    <w:p>
      <w:r>
        <w:rPr>
          <w:b/>
        </w:rPr>
        <w:t xml:space="preserve">Ergebnis: </w:t>
      </w:r>
      <w:r>
        <w:t xml:space="preserve"> Institutionalisierung, Krankenhausaufnahmen und Sterblichkeit: very low certainty, keine relevanten Unterschiede. Lebensqualität (physisch): SMD 0,08 (95%-KI 0,00–0,15), moderate Gewissheit, nur geringe Verbesserung. Psychische Lebensqualität: wahrscheinlich leichte Verbesserung, Konfidenzintervall berührt Null. Physische Funktion: kein Unterschied.</w:t>
      </w:r>
    </w:p>
    <w:p>
      <w:r>
        <w:rPr>
          <w:b/>
          <w:sz w:val="19"/>
        </w:rPr>
        <w:t xml:space="preserve">Übertragbarkeit: </w:t>
      </w:r>
      <w:r>
        <w:rPr>
          <w:sz w:val="19"/>
        </w:rPr>
        <w:t>Überwiegend westliche Länder mit ähnlichen Versorgungsstrukturen, eingeschränkte Übertragbarkeit auf deutsches Langzeitpflegesystem.</w:t>
      </w:r>
    </w:p>
    <w:p>
      <w:r>
        <w:rPr>
          <w:color w:val="5A7D3A"/>
          <w:sz w:val="18"/>
        </w:rPr>
        <w:t>https://pubmed.ncbi.nlm.nih.gov/42675567/</w:t>
      </w:r>
    </w:p>
    <w:p>
      <w:pPr>
        <w:pStyle w:val="Heading2"/>
      </w:pPr>
      <w:r>
        <w:t xml:space="preserve"> Insulin infusionsprotokolle in italienischen Intensivstationen: Variabilität pflegerischer Praxis</w:t>
      </w:r>
    </w:p>
    <w:p>
      <w:r>
        <w:rPr>
          <w:i/>
          <w:color w:val="666666"/>
          <w:sz w:val="18"/>
        </w:rPr>
        <w:t>Pujia C et al.  ·  Nurs Crit Care  ·  Sept. 2026  ·  PMID 42670715</w:t>
      </w:r>
    </w:p>
    <w:p>
      <w:r>
        <w:t>Nationale Querschnittsbefragung von 128 Intensivpflegekräften zu Protokollen für kontinuierliche intravenöse Insulininfusion, deren Variabilität und Einhaltung.</w:t>
      </w:r>
    </w:p>
    <w:p>
      <w:r>
        <w:rPr>
          <w:b/>
        </w:rPr>
        <w:t xml:space="preserve">Ergebnis: </w:t>
      </w:r>
      <w:r>
        <w:t>93,0 % (n=119) berichteten standardisierte Protokolle, aber erhebliche Variabilität in Initialisierungsschwellen (50,0 % bei 180 mg/dL), Messmethoden und Überwachungsfrequenz. Mediane Überwachungsintervalle vor Stabilisierung: 120 min (IQR 60–240), überschreitet empfohlenene Häufigkeit. Variabilität besonders bei Initialisierungsschwellen und Messmethoden vor Stabilisierung.</w:t>
      </w:r>
    </w:p>
    <w:p>
      <w:r>
        <w:rPr>
          <w:b/>
          <w:sz w:val="19"/>
        </w:rPr>
        <w:t xml:space="preserve">Übertragbarkeit: </w:t>
      </w:r>
      <w:r>
        <w:rPr>
          <w:sz w:val="19"/>
        </w:rPr>
        <w:t>Italien, ähnliches Gesundheitssystem, aber Dokumentation variabel.</w:t>
      </w:r>
    </w:p>
    <w:p>
      <w:r>
        <w:rPr>
          <w:color w:val="5A7D3A"/>
          <w:sz w:val="18"/>
        </w:rPr>
        <w:t>https://pubmed.ncbi.nlm.nih.gov/42670715/</w:t>
      </w:r>
    </w:p>
    <w:p>
      <w:pPr>
        <w:pStyle w:val="Heading2"/>
      </w:pPr>
      <w:r>
        <w:t xml:space="preserve"> Kontinuitätsmodelle in Hebammenhilfe: bessere Betreuung bei Geburtsangst – was Frauen bewirkt und was sie verspricht</w:t>
      </w:r>
    </w:p>
    <w:p>
      <w:r>
        <w:rPr>
          <w:i/>
          <w:color w:val="666666"/>
          <w:sz w:val="18"/>
        </w:rPr>
        <w:t>Hildingsson I et al.  ·  Midwifery  ·  11.08.2026  ·  PMID 42612586</w:t>
      </w:r>
    </w:p>
    <w:p>
      <w:r>
        <w:t xml:space="preserve"> Prospektive Kohortenstudie mit 142 schwangeren Frauen mit Geburtsangst oder depressiven Symptomen in Schweden, vergleichend: Vollständige Kontinuität (Model A, n=50) versus Mischmodell mit Hebammen vor Ort und digitalen Kontakten (Model B, n=92).</w:t>
      </w:r>
    </w:p>
    <w:p>
      <w:r>
        <w:rPr>
          <w:b/>
        </w:rPr>
        <w:t xml:space="preserve">Ergebnis: </w:t>
      </w:r>
      <w:r>
        <w:t xml:space="preserve"> Hochzufriedenheit insgesamt; Frauen in Model A (Vollkontinuität) bewerteten Hebammnenunterstützung und Partnerbeteiligung signifikant höher. Defizite in beiden Gruppen beim Stillen und Postpartum-Information. Psychische Befindlichkeit, Übergangserleben und Geburtsvorbereitung: keine signifikanten Unterschiede zwischen Gruppen. Vollkontinuität mit stärkerer Unterstützung und Partnerbeteiligung assoziiert.</w:t>
      </w:r>
    </w:p>
    <w:p>
      <w:r>
        <w:rPr>
          <w:b/>
          <w:sz w:val="19"/>
        </w:rPr>
        <w:t xml:space="preserve">Übertragbarkeit: </w:t>
      </w:r>
      <w:r>
        <w:rPr>
          <w:sz w:val="19"/>
        </w:rPr>
        <w:t>Schweden, universelles Gesundheitssystem, Hebammenkontinuität etabliert, europäisch übertragbar.</w:t>
      </w:r>
    </w:p>
    <w:p>
      <w:r>
        <w:rPr>
          <w:color w:val="5A7D3A"/>
          <w:sz w:val="18"/>
        </w:rPr>
        <w:t>https://pubmed.ncbi.nlm.nih.gov/42612586/</w:t>
      </w:r>
    </w:p>
    <w:p>
      <w:pPr>
        <w:pStyle w:val="Heading2"/>
      </w:pPr>
      <w:r>
        <w:t xml:space="preserve"> Mobile Health in Palliativpflege zu Hause: wie mHealth funktioniert – und was es braucht</w:t>
      </w:r>
    </w:p>
    <w:p>
      <w:r>
        <w:rPr>
          <w:i/>
          <w:color w:val="666666"/>
          <w:sz w:val="18"/>
        </w:rPr>
        <w:t>Gebre NT et al.  ·  JMIR Mhealth Uhealth  ·  14.08.2026  ·  PMID 42600073</w:t>
      </w:r>
    </w:p>
    <w:p>
      <w:r>
        <w:t xml:space="preserve"> Realist Review mit 126 eingeschlossenen Studien zu Kontextfaktoren und Mechanismen, die beeinflussen, wie mHealth-Interventionen in der Palliativpflege zu Hause Ergebnisse erzielen.</w:t>
      </w:r>
    </w:p>
    <w:p>
      <w:r>
        <w:rPr>
          <w:b/>
        </w:rPr>
        <w:t xml:space="preserve">Ergebnis: </w:t>
      </w:r>
      <w:r>
        <w:t xml:space="preserve"> Sechs zentrale Erfolgsfaktoren identifiziert: (1) Bedenken durch sachgerechte Orientierung von Patienten und Pflegekräften sowie klare Richtlinien mindern; (2) Infrastruktur- und Technologiebarrieren durch benutzerfreundliche Designs überwinden; (3) Interessengruppen einbeziehen, um mHealth an Gesundheitsbedarf, Nutzerpräferenzen und Organisationsbedarf abzustimmen; (4) interoperable Gesundheitsinformationssysteme; (5) Zugang zu Gesundheitsteams und regelmäßige Kommunikation; (6) Zugang zu Information, um Nutzenden Selbstkompetenz zu geben.</w:t>
      </w:r>
    </w:p>
    <w:p>
      <w:r>
        <w:rPr>
          <w:b/>
          <w:sz w:val="19"/>
        </w:rPr>
        <w:t xml:space="preserve">Übertragbarkeit: </w:t>
      </w:r>
      <w:r>
        <w:rPr>
          <w:sz w:val="19"/>
        </w:rPr>
        <w:t>Global erfasst, prinzipien universell, aber nationale Unterschiede in Infrastruktur und Finanzierung relevant.</w:t>
      </w:r>
    </w:p>
    <w:p>
      <w:r>
        <w:rPr>
          <w:color w:val="5A7D3A"/>
          <w:sz w:val="18"/>
        </w:rPr>
        <w:t>https://pubmed.ncbi.nlm.nih.gov/42600073/</w:t>
      </w:r>
    </w:p>
    <w:p>
      <w:pPr>
        <w:pStyle w:val="Heading2"/>
      </w:pPr>
      <w:r>
        <w:t xml:space="preserve"> Medikamentenbezo gene Pflege ausfälle und Pflegeerfahrung: was kurzzeitige Abteilungen gefährdet</w:t>
      </w:r>
    </w:p>
    <w:p>
      <w:r>
        <w:rPr>
          <w:i/>
          <w:color w:val="666666"/>
          <w:sz w:val="18"/>
        </w:rPr>
        <w:t>Nielsen LN et al.  ·  Int Emerg Nurs  ·  05.08.2026  ·  PMID 42556128</w:t>
      </w:r>
    </w:p>
    <w:p>
      <w:r>
        <w:t>Querschnittsstudie unter 319 Pflegekräften in 16 dänischen Kurzzeitstationen zu unterlassener Pflege bei Medikamentenverabreichung und deren Zusammenhang mit Berufserfahrung.</w:t>
      </w:r>
    </w:p>
    <w:p>
      <w:r>
        <w:rPr>
          <w:b/>
        </w:rPr>
        <w:t xml:space="preserve">Ergebnis: </w:t>
      </w:r>
      <w:r>
        <w:t>63–73 % berichteten häufig verpasste Medikamentengaben. Pflegekräfte mit ≤2 Jahren Erfahrung meldeten seltener verpasste planmäßige Medikamentenvergaben als erfahrenere Kräfte. Hauptgrund für unterlassene Pflege: unerwartete Steigerung von Patientenzahl und -akuität. Organisatorische Faktoren wie unzureichende Personalbesetzung waren primäre Beitragsfaktoren.</w:t>
      </w:r>
    </w:p>
    <w:p>
      <w:r>
        <w:rPr>
          <w:b/>
          <w:sz w:val="19"/>
        </w:rPr>
        <w:t xml:space="preserve">Übertragbarkeit: </w:t>
      </w:r>
      <w:r>
        <w:rPr>
          <w:sz w:val="19"/>
        </w:rPr>
        <w:t>Dänemark, vergleichbares Pflegesystem, ähnliche Dokumentationsstandards.</w:t>
      </w:r>
    </w:p>
    <w:p>
      <w:r>
        <w:rPr>
          <w:color w:val="5A7D3A"/>
          <w:sz w:val="18"/>
        </w:rPr>
        <w:t>https://pubmed.ncbi.nlm.nih.gov/42556128/</w:t>
      </w:r>
    </w:p>
    <w:p>
      <w:pPr>
        <w:pStyle w:val="Heading1"/>
      </w:pPr>
      <w:r>
        <w:t>Aufgenommen am 01.09.2026</w:t>
      </w:r>
    </w:p>
    <w:p>
      <w:pPr>
        <w:pStyle w:val="Heading2"/>
      </w:pPr>
      <w:r>
        <w:t>Kündigungsgründe nach Generationen: Was Pflegefachkräfte zum Weggehen bewegt</w:t>
      </w:r>
    </w:p>
    <w:p>
      <w:r>
        <w:rPr>
          <w:i/>
          <w:color w:val="666666"/>
          <w:sz w:val="18"/>
        </w:rPr>
        <w:t>Cesaro E et al.  ·  J Nurs Manag  ·  2026  ·  PMID 42671034</w:t>
      </w:r>
    </w:p>
    <w:p>
      <w:r>
        <w:t>Qualitative Studie mit 66 italienischen Pflegekräften, die gekündigt haben, zu Austrittsursachen nach Alter und Lebenslage.</w:t>
      </w:r>
    </w:p>
    <w:p>
      <w:r>
        <w:rPr>
          <w:b/>
        </w:rPr>
        <w:t xml:space="preserve">Ergebnis: </w:t>
      </w:r>
      <w:r>
        <w:t>Junge Pflegekräfte (Gen Z) nannten Onboarding-Mängel und Karriere-Hürden; mittlere Jahrgänge (Gen Y) Arbeitsbelastung und fehlende Anerkennung; ältere (Gen X) physische Belastung und logistische Barrieren. Durchgehend genannte Faktoren: chronische Unterbesetzung, mangelnde Flexibilität, schwache Führungsunterstützung.</w:t>
      </w:r>
    </w:p>
    <w:p>
      <w:r>
        <w:rPr>
          <w:b/>
          <w:sz w:val="19"/>
        </w:rPr>
        <w:t xml:space="preserve">Übertragbarkeit: </w:t>
      </w:r>
      <w:r>
        <w:rPr>
          <w:sz w:val="19"/>
        </w:rPr>
        <w:t>Italien, vergleichbare Klinikstruktur, Aussagen zu generationsspezifischen Bedürfnissen relevant für deutsches Fachkräftemanagement.</w:t>
      </w:r>
    </w:p>
    <w:p>
      <w:r>
        <w:rPr>
          <w:color w:val="5A7D3A"/>
          <w:sz w:val="18"/>
        </w:rPr>
        <w:t>https://pubmed.ncbi.nlm.nih.gov/42671034/</w:t>
      </w:r>
    </w:p>
    <w:p>
      <w:pPr>
        <w:pStyle w:val="Heading2"/>
      </w:pPr>
      <w:r>
        <w:t>Burnout bei Hebammen vorhersagen: Ein Prognose-Nomogramm mit sechs Risikofaktoren</w:t>
      </w:r>
    </w:p>
    <w:p>
      <w:r>
        <w:rPr>
          <w:i/>
          <w:color w:val="666666"/>
          <w:sz w:val="18"/>
        </w:rPr>
        <w:t>Zhan Y et al.  ·  J Nurs Manag  ·  2026  ·  PMID 42670673</w:t>
      </w:r>
    </w:p>
    <w:p>
      <w:r>
        <w:t>Querschnittstudie mit 209 chinesischen Hebammen zur Vorhersage von Compassion Fatigue anhand von Stressmodellen.</w:t>
      </w:r>
    </w:p>
    <w:p>
      <w:r>
        <w:rPr>
          <w:b/>
        </w:rPr>
        <w:t xml:space="preserve">Ergebnis: </w:t>
      </w:r>
      <w:r>
        <w:t>91,86 % der Hebammen zeigten irgendein Maß an Compassion Fatigue; 63,6 % moderate bis schwere Ausprägung. Sechs unabhängige Prädiktoren: Alter, Schlafqualität, wahrgenommene Anerkennung, Häufigkeit traumatischer Ereignisse, positive/negative Bewältigungsstrategien. Nomogramm-AUC 0,82 (95%-KI 0,76–0,88).</w:t>
      </w:r>
    </w:p>
    <w:p>
      <w:r>
        <w:rPr>
          <w:b/>
          <w:sz w:val="19"/>
        </w:rPr>
        <w:t xml:space="preserve">Übertragbarkeit: </w:t>
      </w:r>
      <w:r>
        <w:rPr>
          <w:sz w:val="19"/>
        </w:rPr>
        <w:t>China, aber Risikomodell universell, Screening-Tool für alle Geburtshilfe-Settings adaptierbar.</w:t>
      </w:r>
    </w:p>
    <w:p>
      <w:r>
        <w:rPr>
          <w:color w:val="5A7D3A"/>
          <w:sz w:val="18"/>
        </w:rPr>
        <w:t>https://pubmed.ncbi.nlm.nih.gov/42670673/</w:t>
      </w:r>
    </w:p>
    <w:p>
      <w:pPr>
        <w:pStyle w:val="Heading2"/>
      </w:pPr>
      <w:r>
        <w:t>Arbeitszeit-Flexibilität und Pflegekraft-Verbleib: Evidenz aus Jordanien</w:t>
      </w:r>
    </w:p>
    <w:p>
      <w:r>
        <w:rPr>
          <w:i/>
          <w:color w:val="666666"/>
          <w:sz w:val="18"/>
        </w:rPr>
        <w:t>Odaibat R et al.  ·  J Nurs Manag  ·  2026  ·  PMID 42670662</w:t>
      </w:r>
    </w:p>
    <w:p>
      <w:r>
        <w:t>Querschnittsstudie mit 155 Pflegekräften aus fünf jordanischen Krankenhäusern zur Frage, ob flexible Arbeitspläne Retention beeinflussen.</w:t>
      </w:r>
    </w:p>
    <w:p>
      <w:r>
        <w:rPr>
          <w:b/>
        </w:rPr>
        <w:t xml:space="preserve">Ergebnis: </w:t>
      </w:r>
      <w:r>
        <w:t>Scheduling-Flexibilität und Verbleib korrelierten stark positiv (r = 0,79, p &lt; 0,01). Zu viele Nachtschichten, hohe Arbeitsbelastung und starre Zeitpläne waren signifikante negative Prädiktoren. Flexibilität als Managementstrategie erklärt Unterschiede in Kündigungsabsichten.</w:t>
      </w:r>
    </w:p>
    <w:p>
      <w:r>
        <w:rPr>
          <w:b/>
          <w:sz w:val="19"/>
        </w:rPr>
        <w:t xml:space="preserve">Übertragbarkeit: </w:t>
      </w:r>
      <w:r>
        <w:rPr>
          <w:sz w:val="19"/>
        </w:rPr>
        <w:t>Mittlerer Osten, aber Zusammenhang zwischen Flexibilität und Verbleib in europäischen Sozialversicherungssystemen ähnlich relevant.</w:t>
      </w:r>
    </w:p>
    <w:p>
      <w:r>
        <w:rPr>
          <w:color w:val="5A7D3A"/>
          <w:sz w:val="18"/>
        </w:rPr>
        <w:t>https://pubmed.ncbi.nlm.nih.gov/42670662/</w:t>
      </w:r>
    </w:p>
    <w:p>
      <w:pPr>
        <w:pStyle w:val="Heading2"/>
      </w:pPr>
      <w:r>
        <w:t>Palliativkompetenz bei Krebspflegekräften: Drei Leistungsprofile und ihre Determinanten</w:t>
      </w:r>
    </w:p>
    <w:p>
      <w:r>
        <w:rPr>
          <w:i/>
          <w:color w:val="666666"/>
          <w:sz w:val="18"/>
        </w:rPr>
        <w:t>Yu Y et al.  ·  PeerJ  ·  26.08.2026  ·  PMID 42670410</w:t>
      </w:r>
    </w:p>
    <w:p>
      <w:r>
        <w:t>Latente Profilanalyse bei 241 chinesischen Krebspflegekräften zur Heterogenität in Palliativkompetenz-Dimensionen.</w:t>
      </w:r>
    </w:p>
    <w:p>
      <w:r>
        <w:rPr>
          <w:b/>
        </w:rPr>
        <w:t xml:space="preserve">Ergebnis: </w:t>
      </w:r>
      <w:r>
        <w:t>Drei Profile: 27 % niedrige, 45 % mittlere, 28 % hohe Kompetenz. Hochkompetente zeigten 1,8-fach höheres ethisches Urteilsvermögen, 2,4-fach bessere klinische Praktiken, 2,0-fach bessere psychische Anpassung (alle p &lt; 0,001). Systematisches Palliativ-Training assoziiert mit hohem Profil (OR = 3,21, 95%-KI 1,30–7,94).</w:t>
      </w:r>
    </w:p>
    <w:p>
      <w:r>
        <w:rPr>
          <w:b/>
          <w:sz w:val="19"/>
        </w:rPr>
        <w:t xml:space="preserve">Übertragbarkeit: </w:t>
      </w:r>
      <w:r>
        <w:rPr>
          <w:sz w:val="19"/>
        </w:rPr>
        <w:t>China, aber Trainingseffekt universell; Befund zur Notwendigkeit strukturierter Palliativausbildung auf alle Systeme übertragbar.</w:t>
      </w:r>
    </w:p>
    <w:p>
      <w:r>
        <w:rPr>
          <w:color w:val="5A7D3A"/>
          <w:sz w:val="18"/>
        </w:rPr>
        <w:t>https://pubmed.ncbi.nlm.nih.gov/42670410/</w:t>
      </w:r>
    </w:p>
    <w:p>
      <w:pPr>
        <w:pStyle w:val="Heading2"/>
      </w:pPr>
      <w:r>
        <w:t>Psychische Erkrankung im Heim und Zuhause: Vergleich von Verwaltungs- und Assessmentdaten</w:t>
      </w:r>
    </w:p>
    <w:p>
      <w:r>
        <w:rPr>
          <w:i/>
          <w:color w:val="666666"/>
          <w:sz w:val="18"/>
        </w:rPr>
        <w:t>Marrie RA et al.  ·  Int J Methods Psychiatr Res  ·  Sept. 2026  ·  PMID 42669965</w:t>
      </w:r>
    </w:p>
    <w:p>
      <w:r>
        <w:t>Vergleichende Analyse von Verwaltungsdaten und RAI-Diagnosen bei 493.895 Heimklienten und 357.117 Pflegeheim-Bewohnern in drei kanadischen Provinzen.</w:t>
      </w:r>
    </w:p>
    <w:p>
      <w:r>
        <w:rPr>
          <w:b/>
        </w:rPr>
        <w:t xml:space="preserve">Ergebnis: </w:t>
      </w:r>
      <w:r>
        <w:t>Depression am häufigsten (administrative Daten: 29–34 % Heim, 21–51 % Pflegeheim); Übereinstimmung zwischen Datenquellen moderat (Depression κ = 0,33–0,57). Jüngeres Alter, Demenz und mehr Arztbesuche waren mit Abweichungen assoziiert. Rabiates Problem: Unterschiedliche Prävalenzschätzungen je nach Datenquelle.</w:t>
      </w:r>
    </w:p>
    <w:p>
      <w:r>
        <w:rPr>
          <w:b/>
          <w:sz w:val="19"/>
        </w:rPr>
        <w:t xml:space="preserve">Übertragbarkeit: </w:t>
      </w:r>
      <w:r>
        <w:rPr>
          <w:sz w:val="19"/>
        </w:rPr>
        <w:t>Kanada mit Vollversicherung, aber Messungenauigkeiten auch für Deutschland relevant bei Qualitätsberichterstattung und Indikatorenentwicklung.</w:t>
      </w:r>
    </w:p>
    <w:p>
      <w:r>
        <w:rPr>
          <w:color w:val="5A7D3A"/>
          <w:sz w:val="18"/>
        </w:rPr>
        <w:t>https://pubmed.ncbi.nlm.nih.gov/42669965/</w:t>
      </w:r>
    </w:p>
    <w:p>
      <w:pPr>
        <w:pStyle w:val="Heading2"/>
      </w:pPr>
      <w:r>
        <w:t>Schlafqualität von Patienten im Krankenhaus: Was Nachtwachen an Versorgung bewirken</w:t>
      </w:r>
    </w:p>
    <w:p>
      <w:r>
        <w:rPr>
          <w:i/>
          <w:color w:val="666666"/>
          <w:sz w:val="18"/>
        </w:rPr>
        <w:t>Bellon F et al.  ·  Worldviews Evid Based Nurs  ·  Aug. 2026  ·  PMID 42669835</w:t>
      </w:r>
    </w:p>
    <w:p>
      <w:r>
        <w:t>Multizentrisches Beobachtungsstudie in 12 spanischen Kliniken mit 383 Patienten zur Frage, wie nächtliche Pflegemaßnahmen die Schlafqualität beeinflussen.</w:t>
      </w:r>
    </w:p>
    <w:p>
      <w:r>
        <w:rPr>
          <w:b/>
        </w:rPr>
        <w:t xml:space="preserve">Ergebnis: </w:t>
      </w:r>
      <w:r>
        <w:t>71 % der Patienten hatten schlechten Schlaf bei Aufnahme, verschärft sich auf 85,9 % im Verlauf. Jeder Tag mit Interventionen korrelierte mit schlechterer Schlafqualität; Blutentnahme und Angstmanagement zeigten geschlechtsspezifische Effekte. Zimmergenossen und nächtliche Maßnahmen waren Hauptfaktoren.</w:t>
      </w:r>
    </w:p>
    <w:p>
      <w:r>
        <w:rPr>
          <w:b/>
          <w:sz w:val="19"/>
        </w:rPr>
        <w:t xml:space="preserve">Übertragbarkeit: </w:t>
      </w:r>
      <w:r>
        <w:rPr>
          <w:sz w:val="19"/>
        </w:rPr>
        <w:t>Spanische Akutkliniken, vergleichbare Patientenversorgung, Befunde zur Schlafhygiene auf deutsche Kliniken übertragbar.</w:t>
      </w:r>
    </w:p>
    <w:p>
      <w:r>
        <w:rPr>
          <w:color w:val="5A7D3A"/>
          <w:sz w:val="18"/>
        </w:rPr>
        <w:t>https://pubmed.ncbi.nlm.nih.gov/42669835/</w:t>
      </w:r>
    </w:p>
    <w:p>
      <w:pPr>
        <w:pStyle w:val="Heading1"/>
      </w:pPr>
      <w:r>
        <w:t>Aufgenommen am 31.08.2026</w:t>
      </w:r>
    </w:p>
    <w:p>
      <w:pPr>
        <w:pStyle w:val="Heading2"/>
      </w:pPr>
      <w:r>
        <w:t>Verwaltungsaufwand und unterlassene Pflege: Was Arbeitsbelastung im Krankenhaus bewirkt</w:t>
      </w:r>
    </w:p>
    <w:p>
      <w:r>
        <w:rPr>
          <w:i/>
          <w:color w:val="666666"/>
          <w:sz w:val="18"/>
        </w:rPr>
        <w:t>Paquay M et al.  ·  J Nurs Manag  ·  2026  ·  PMID 42668451</w:t>
      </w:r>
    </w:p>
    <w:p>
      <w:r>
        <w:t>Querschnittsstudie mit 3.613 Krankenhausfachkräften und Pflegemanagern in Belgien (Sept.–Okt. 2024) zu Zusammenhang zwischen Verwaltungsaufwand, Health Technology Zufriedenheit, Arbeitsunzufriedenheit und dokumentierter unterlassener Pflege.</w:t>
      </w:r>
    </w:p>
    <w:p>
      <w:r>
        <w:rPr>
          <w:b/>
        </w:rPr>
        <w:t xml:space="preserve">Ergebnis: </w:t>
      </w:r>
      <w:r>
        <w:t>Personal gab einen medianen Anteil von 18 % je Schicht für administrative und logistische Aufgaben an (Fachkräfte 20 %, Manager 10 %, p &lt; 0,001). 71,7 % waren insgesamt mit ihrem Job zufrieden, aber 72,1 % berichteten mindestens eine unterlassene Pflegeleistung. Höhere administrative Belastung korrelierte mit erhöhten Odds für Jobunzufriedenheit (ORa = 1,15 [95%-KI 1,10–1,20]) und mehr unterlassener Pflege (IRRa = 1,12 [1,04–1,20]). Unbefriedigtheit mit Health-Technologien zeigte ähnliche Muster (Jobunzufriedenheit ORa = 1,30 [1,07–1,58], unterlassene Pflege IRRa = 1,17 [1,10–1,24]).</w:t>
      </w:r>
    </w:p>
    <w:p>
      <w:r>
        <w:rPr>
          <w:b/>
          <w:sz w:val="19"/>
        </w:rPr>
        <w:t xml:space="preserve">Übertragbarkeit: </w:t>
      </w:r>
      <w:r>
        <w:rPr>
          <w:sz w:val="19"/>
        </w:rPr>
        <w:t>Belgien mit vergleichbarem System, Datenqualität aus vollständiger Befragung</w:t>
      </w:r>
    </w:p>
    <w:p>
      <w:r>
        <w:rPr>
          <w:color w:val="5A7D3A"/>
          <w:sz w:val="18"/>
        </w:rPr>
        <w:t>https://pubmed.ncbi.nlm.nih.gov/42668451/</w:t>
      </w:r>
    </w:p>
    <w:p>
      <w:pPr>
        <w:pStyle w:val="Heading2"/>
      </w:pPr>
      <w:r>
        <w:t>Unerfüllte Bedarfe für proaktives Gesundheitsmanagement in chinesischen Langzeitpflegeeinrichtungen</w:t>
      </w:r>
    </w:p>
    <w:p>
      <w:r>
        <w:rPr>
          <w:i/>
          <w:color w:val="666666"/>
          <w:sz w:val="18"/>
        </w:rPr>
        <w:t>Wang Y et al.  ·  Front Public Health  ·  14.08.2026  ·  PMID 42666148</w:t>
      </w:r>
    </w:p>
    <w:p>
      <w:r>
        <w:t>Qualitative Studie mit 15 älteren Bewohnern mit Funktionseinschränkungen und 13 Pflegefachleuten in einer Langzeitpflegeeinrichtung in Chongqing (Juli–Sept. 2025) zu unerfüllten Bedürfnissen proaktiver Gesundheitsdienste.</w:t>
      </w:r>
    </w:p>
    <w:p>
      <w:r>
        <w:rPr>
          <w:b/>
        </w:rPr>
        <w:t xml:space="preserve">Ergebnis: </w:t>
      </w:r>
      <w:r>
        <w:t>Vier zusammenhängende Hauptthemen: Autonomie und Gesundheitsentscheidungsbeteiligung, Verbesserung der Gesundheitskompetenz und kognitiven Befähigung, psychologische Motivation und soziale Verbundenheit, strukturelle Gesundheitsförderungsressourcen und Dienstsysteme. Kernaussage: Übergang von passiver kompensierender Pflege zu proaktivem Gesundheitsmanagement erfordert dreidimensionales Befähigungssystem (Individuum–Institution–Gesellschaft) mit Autonomie, Bildung, sozialen Netzwerken und integrierten Dienstketten.</w:t>
      </w:r>
    </w:p>
    <w:p>
      <w:r>
        <w:rPr>
          <w:b/>
          <w:sz w:val="19"/>
        </w:rPr>
        <w:t xml:space="preserve">Übertragbarkeit: </w:t>
      </w:r>
      <w:r>
        <w:rPr>
          <w:sz w:val="19"/>
        </w:rPr>
        <w:t>China, Langzeitpflege; qualitativ mit klarem Maßnahmerahmen für ähnliche Systeme</w:t>
      </w:r>
    </w:p>
    <w:p>
      <w:r>
        <w:rPr>
          <w:color w:val="5A7D3A"/>
          <w:sz w:val="18"/>
        </w:rPr>
        <w:t>https://pubmed.ncbi.nlm.nih.gov/42666148/</w:t>
      </w:r>
    </w:p>
    <w:p>
      <w:pPr>
        <w:pStyle w:val="Heading2"/>
      </w:pPr>
      <w:r>
        <w:t>Arzneimittelnebenwirkungsberichte von Gesundheitsfachleuten: Lücken zwischen Wissen und Meldeverhalten</w:t>
      </w:r>
    </w:p>
    <w:p>
      <w:r>
        <w:rPr>
          <w:i/>
          <w:color w:val="666666"/>
          <w:sz w:val="18"/>
        </w:rPr>
        <w:t>Silagadze N et al.  ·  BMC Health Serv Res  ·  22.07.2026  ·  PMID 42665790</w:t>
      </w:r>
    </w:p>
    <w:p>
      <w:r>
        <w:t>Querschnittsstudie in Georgien (April 2023–Juni 2024) mit 342 Ärzten und 342 Pflegefachleuten zu Wissen, Haltungen und Meldepraktiken bei Arzneimittelnebenwirkungen.</w:t>
      </w:r>
    </w:p>
    <w:p>
      <w:r>
        <w:rPr>
          <w:b/>
        </w:rPr>
        <w:t xml:space="preserve">Ergebnis: </w:t>
      </w:r>
      <w:r>
        <w:t>76,3 % der Befragten erlebten Nebenwirkungen in ihrer Praxis, aber nur 12,95 % meldeten diese. Keine der Pflegefachleute und nur 10,2 % der Ärzte nutzten das offizielle Meldungsformular. Hauptbarrieren waren Mangel an Bewusstsein für das nationale Meldesystem (91,7 %), Unsicherheit über den Prozess (76,9 %) und Unterschätzung der Schwere (40,8 %). Ärzte hatten höhere Wissenswerte als Pflegefachleute (19 vs. 16; p &lt; 0,001), Pflegefachleute aber positivere Einstellung (6 vs. 5,6; p &lt; 0,001).</w:t>
      </w:r>
    </w:p>
    <w:p>
      <w:r>
        <w:rPr>
          <w:b/>
          <w:sz w:val="19"/>
        </w:rPr>
        <w:t xml:space="preserve">Übertragbarkeit: </w:t>
      </w:r>
      <w:r>
        <w:rPr>
          <w:sz w:val="19"/>
        </w:rPr>
        <w:t>Gering: Georgien – Befund zeigt aber generische Lücke zwischen Erlebnis und Meldebereitschaft</w:t>
      </w:r>
    </w:p>
    <w:p>
      <w:r>
        <w:rPr>
          <w:color w:val="5A7D3A"/>
          <w:sz w:val="18"/>
        </w:rPr>
        <w:t>https://pubmed.ncbi.nlm.nih.gov/42665790/</w:t>
      </w:r>
    </w:p>
    <w:p>
      <w:pPr>
        <w:pStyle w:val="Heading2"/>
      </w:pPr>
      <w:r>
        <w:t>Forschungskompetenz bei Pflegefachkräften in der Intensivmedizin: Barrieren und Chancen</w:t>
      </w:r>
    </w:p>
    <w:p>
      <w:r>
        <w:rPr>
          <w:i/>
          <w:color w:val="666666"/>
          <w:sz w:val="18"/>
        </w:rPr>
        <w:t>Batalla MGAP et al.  ·  Nurs Crit Care  ·  Sept. 2026  ·  PMID 42661391</w:t>
      </w:r>
    </w:p>
    <w:p>
      <w:r>
        <w:t>Gemischte Studie (Umfrage und Fokusgruppen) mit britischen Intensivpflegefachkräften zu Selbsteinschätzung ihrer Forschungskompetenz, organisatorischen Barrieren und Rolle der Forschungsverbindungsfachkraft.</w:t>
      </w:r>
    </w:p>
    <w:p>
      <w:r>
        <w:rPr>
          <w:b/>
        </w:rPr>
        <w:t xml:space="preserve">Ergebnis: </w:t>
      </w:r>
      <w:r>
        <w:t>Pflegefachkräfte zeigten moderate Vertrautheit mit Forschungskompetenzen. Thematische Analyse der Fokusgruppen hob organisatorische Barrieren und die Rolle der Research-Link-Nurse als Schlüsselfaktoren hervor, um Vertrauen in Forschungsaktivitäten zu stärken. Keine genauen Zahlenangaben zu Kompetenzausprägungen im Abstract berichtet.</w:t>
      </w:r>
    </w:p>
    <w:p>
      <w:r>
        <w:rPr>
          <w:b/>
          <w:sz w:val="19"/>
        </w:rPr>
        <w:t xml:space="preserve">Übertragbarkeit: </w:t>
      </w:r>
      <w:r>
        <w:rPr>
          <w:sz w:val="19"/>
        </w:rPr>
        <w:t>UK-Klinikkontext, organisatorische Befunde ggf. teilweise übertragbar</w:t>
      </w:r>
    </w:p>
    <w:p>
      <w:r>
        <w:rPr>
          <w:color w:val="5A7D3A"/>
          <w:sz w:val="18"/>
        </w:rPr>
        <w:t>https://pubmed.ncbi.nlm.nih.gov/42661391/</w:t>
      </w:r>
    </w:p>
    <w:p>
      <w:pPr>
        <w:pStyle w:val="Heading2"/>
      </w:pPr>
      <w:r>
        <w:t>Belastung von Angehörigen schwerverletzter Patienten: Psychische Folgen und Unterstützungsbedarf</w:t>
      </w:r>
    </w:p>
    <w:p>
      <w:r>
        <w:rPr>
          <w:i/>
          <w:color w:val="666666"/>
          <w:sz w:val="18"/>
        </w:rPr>
        <w:t>Van Ditshuizen JC et al.  ·  Eur J Trauma Emerg Surg  ·  24.08.2026  ·  PMID 42635672</w:t>
      </w:r>
    </w:p>
    <w:p>
      <w:r>
        <w:t>Systematischer Review europäischer Studien (2000–2025) zu patientenberichteten Ergebnissen durch Angehörige (SOROMs) bei schwerverletzten Patienten, davon 90 % mit traumatischer Hirnverletzung.</w:t>
      </w:r>
    </w:p>
    <w:p>
      <w:r>
        <w:rPr>
          <w:b/>
        </w:rPr>
        <w:t xml:space="preserve">Ergebnis: </w:t>
      </w:r>
      <w:r>
        <w:t>30 Studien eingeschlossen, überwiegend aus West- und Nordeuropa. 67 % der Studien (n=20) zeigten subakute und langfristige Reduktion der gesundheitsbezogenen Lebensqualität von Angehörigen mit hoher Prävalenz (28–56 %) depressiver, Angst- und Stresssymptome. 53 % (n=16) berichteten etwa 50 % unerfüllter Familienbedarfe (Information, emotionale Unterstützung) und disproportionale Pflegelast verbunden mit Einsamkeit und Lebenszufriedenheit. Ergebnisse von Angehörigen und Patienten liefen parallel und waren mit Bewältigungsstrategien assoziiert.</w:t>
      </w:r>
    </w:p>
    <w:p>
      <w:r>
        <w:rPr>
          <w:b/>
          <w:sz w:val="19"/>
        </w:rPr>
        <w:t xml:space="preserve">Übertragbarkeit: </w:t>
      </w:r>
      <w:r>
        <w:rPr>
          <w:sz w:val="19"/>
        </w:rPr>
        <w:t>Europäische Daten, Thema pflegerelevant für Angehörigenentlastung</w:t>
      </w:r>
    </w:p>
    <w:p>
      <w:r>
        <w:rPr>
          <w:color w:val="5A7D3A"/>
          <w:sz w:val="18"/>
        </w:rPr>
        <w:t>https://pubmed.ncbi.nlm.nih.gov/42635672/</w:t>
      </w:r>
    </w:p>
    <w:p>
      <w:pPr>
        <w:pStyle w:val="Heading2"/>
      </w:pPr>
      <w:r>
        <w:t>Persönliche und organisatorische Faktoren bei Pflegediagnosen: Clusteranalyse und Maßnahmenpotenzial</w:t>
      </w:r>
    </w:p>
    <w:p>
      <w:r>
        <w:rPr>
          <w:i/>
          <w:color w:val="666666"/>
          <w:sz w:val="18"/>
        </w:rPr>
        <w:t>Bozzetti M et al.  ·  Int J Nurs Knowl  ·  24.08.2026  ·  PMID 42635540</w:t>
      </w:r>
    </w:p>
    <w:p>
      <w:r>
        <w:t>Querschnittsstudie mit 444 Pflegefachkräften aus zwei italienischen Krankenhäusern (2024) zu Überzeugungen und Umgebungsfaktoren bei Einsatz von Pflegediagnosen mittels Clusteranalyse.</w:t>
      </w:r>
    </w:p>
    <w:p>
      <w:r>
        <w:rPr>
          <w:b/>
        </w:rPr>
        <w:t xml:space="preserve">Ergebnis: </w:t>
      </w:r>
      <w:r>
        <w:t>85,36 % weiblich, mittleres Alter 40,1 Jahre. Clusteranalyse identifizierte drei Gruppen: 37,4 % positive Überzeugungen, 48,6 % neutrale und 14 % negative Überzeugungen. Pflegefachkräfte in der positiven Gruppe zeigten stärkere klinische Reasoning-Kompetenzen und günstigere Wahrnehmung der Arbeitsumgebung. Signifikante Unterschiede zwischen Clustern bei Arbeitsumgebungssubskalen und Verhaltensüberzeugungen. Empfehlung: maßgeschneiderte Strategien zur Verbesserung des klinischen Reasoning und der Arbeitsumgebung.</w:t>
      </w:r>
    </w:p>
    <w:p>
      <w:r>
        <w:rPr>
          <w:b/>
          <w:sz w:val="19"/>
        </w:rPr>
        <w:t xml:space="preserve">Übertragbarkeit: </w:t>
      </w:r>
      <w:r>
        <w:rPr>
          <w:sz w:val="19"/>
        </w:rPr>
        <w:t>Italien, Europa; Clustermethode auf andere Länder übertragbar</w:t>
      </w:r>
    </w:p>
    <w:p>
      <w:r>
        <w:rPr>
          <w:color w:val="5A7D3A"/>
          <w:sz w:val="18"/>
        </w:rPr>
        <w:t>https://pubmed.ncbi.nlm.nih.gov/42635540/</w:t>
      </w:r>
    </w:p>
    <w:p>
      <w:pPr>
        <w:pStyle w:val="Heading1"/>
      </w:pPr>
      <w:r>
        <w:t>Aufgenommen am 30.08.2026</w:t>
      </w:r>
    </w:p>
    <w:p>
      <w:pPr>
        <w:pStyle w:val="Heading2"/>
      </w:pPr>
      <w:r>
        <w:t>Adaptive Leitungshandeln für Patientensicherheit in Intensivstationen: Lehren aus der Pandemie</w:t>
      </w:r>
    </w:p>
    <w:p>
      <w:r>
        <w:rPr>
          <w:i/>
          <w:color w:val="666666"/>
          <w:sz w:val="18"/>
        </w:rPr>
        <w:t>Berggren K et al.  ·  J Nurs Manag  ·  2026  ·  PMID 42667115</w:t>
      </w:r>
    </w:p>
    <w:p>
      <w:r>
        <w:t>Schwedische Qualitativturstudie mit 15 Stationsleitern, wie erste Führungskräfte in der Intensivmedizin während COVID-19 Sicherheitsbedingungen, Ressourcenbelastung und Personalwohlbefinden handhaben.</w:t>
      </w:r>
    </w:p>
    <w:p>
      <w:r>
        <w:rPr>
          <w:b/>
        </w:rPr>
        <w:t xml:space="preserve">Ergebnis: </w:t>
      </w:r>
      <w:r>
        <w:t>Adaptive Führung unter Flexibilität, kontinuierlichem Lernen und gegenseitiger Vertrauensbildung ermöglichte Managern, trotz Ressourcenmangel Patientensicherheit zu bewahren. Kernfunde: Konflikte zwischen Effizienz und Sicherheit; Bedeutung von Stabilität des Teams und Transparenz in Entscheidungen für die Patientensicherheit.</w:t>
      </w:r>
    </w:p>
    <w:p>
      <w:r>
        <w:rPr>
          <w:b/>
          <w:sz w:val="19"/>
        </w:rPr>
        <w:t xml:space="preserve">Übertragbarkeit: </w:t>
      </w:r>
      <w:r>
        <w:rPr>
          <w:sz w:val="19"/>
        </w:rPr>
        <w:t>Schweden, direkt übertragbar auf deutschsprachige Intensivstationen mit ähnlichen Strukturen und Herausforderungen</w:t>
      </w:r>
    </w:p>
    <w:p>
      <w:r>
        <w:rPr>
          <w:color w:val="5A7D3A"/>
          <w:sz w:val="18"/>
        </w:rPr>
        <w:t>https://pubmed.ncbi.nlm.nih.gov/42667115/</w:t>
      </w:r>
    </w:p>
    <w:p>
      <w:pPr>
        <w:pStyle w:val="Heading1"/>
      </w:pPr>
      <w:r>
        <w:t>Aufgenommen am 29.08.2026</w:t>
      </w:r>
    </w:p>
    <w:p>
      <w:pPr>
        <w:pStyle w:val="Heading2"/>
      </w:pPr>
      <w:r>
        <w:t>Pflegeworkload und optimale Personalausstattung: Zeit-Bewegungs-Studie mit Patientenklassifikation</w:t>
      </w:r>
    </w:p>
    <w:p>
      <w:r>
        <w:rPr>
          <w:i/>
          <w:color w:val="666666"/>
          <w:sz w:val="18"/>
        </w:rPr>
        <w:t>Biyik M et al.  ·  J Nurs Manag  ·  2026  ·  PMID 42661409</w:t>
      </w:r>
    </w:p>
    <w:p>
      <w:r>
        <w:t>Beobachtungsstudie mit Zeiterfassung bei 20 Pflegekräften in zwei türkischen Stationen zur objektiven Arbeitsbelastung.</w:t>
      </w:r>
    </w:p>
    <w:p>
      <w:r>
        <w:rPr>
          <w:b/>
        </w:rPr>
        <w:t xml:space="preserve">Ergebnis: </w:t>
      </w:r>
      <w:r>
        <w:t>Direkte Pflege 22,8–26,6% der Arbeitszeit, indirekte Pflege 31,1–32,9%, persönliche Aufgaben 34,6–42,3%. Direktpflegezeiten: 12,60/18,77/34,52 Min pro Patient (Lungenerkrankungen) bzw. 11,18/21,91/36,89 Min (Urologie) nach Klassifikation. Aktuelle Besetzung entspricht berechneten Optimalwert.</w:t>
      </w:r>
    </w:p>
    <w:p>
      <w:r>
        <w:rPr>
          <w:b/>
          <w:sz w:val="19"/>
        </w:rPr>
        <w:t xml:space="preserve">Übertragbarkeit: </w:t>
      </w:r>
      <w:r>
        <w:rPr>
          <w:sz w:val="19"/>
        </w:rPr>
        <w:t>Türkei, Zeit-Bewegungsmethodik auf deutsches System übertragbar</w:t>
      </w:r>
    </w:p>
    <w:p>
      <w:r>
        <w:rPr>
          <w:color w:val="5A7D3A"/>
          <w:sz w:val="18"/>
        </w:rPr>
        <w:t>https://pubmed.ncbi.nlm.nih.gov/42661409/</w:t>
      </w:r>
    </w:p>
    <w:p>
      <w:pPr>
        <w:pStyle w:val="Heading2"/>
      </w:pPr>
      <w:r>
        <w:t>Psychische Symptome bei Spinaler Muskelatrophie: Belastung von Patienten und Angehörigen</w:t>
      </w:r>
    </w:p>
    <w:p>
      <w:r>
        <w:rPr>
          <w:i/>
          <w:color w:val="666666"/>
          <w:sz w:val="18"/>
        </w:rPr>
        <w:t>Hussong J et al.  ·  Orphanet J Rare Dis  ·  26.08.2026  ·  PMID 42661209</w:t>
      </w:r>
    </w:p>
    <w:p>
      <w:r>
        <w:t>Deutsche Studie mit Patienten und pflegenden Angehörigen von SMA-Erkrankten, die psychische Symptomatik erfasst.</w:t>
      </w:r>
    </w:p>
    <w:p>
      <w:r>
        <w:rPr>
          <w:b/>
        </w:rPr>
        <w:t xml:space="preserve">Ergebnis: </w:t>
      </w:r>
      <w:r>
        <w:t>14,9% der Angehörigen zeigten psychische Symptome, besonders Personen, die SMA-Typ-1-Patienten betreuten. Symptomraten unterschieden sich nicht zwischen Motorikgruppen. Signifikante Korrelationen zwischen Angehörigen- und Patienten-Symptomen gefunden; psychotherapeutische Behandlung beeinflusste Symptomraten nicht signifikant.</w:t>
      </w:r>
    </w:p>
    <w:p>
      <w:r>
        <w:rPr>
          <w:b/>
          <w:sz w:val="19"/>
        </w:rPr>
        <w:t xml:space="preserve">Übertragbarkeit: </w:t>
      </w:r>
      <w:r>
        <w:rPr>
          <w:sz w:val="19"/>
        </w:rPr>
        <w:t>Deutschland, nationale SMA-Registrierungsdaten</w:t>
      </w:r>
    </w:p>
    <w:p>
      <w:r>
        <w:rPr>
          <w:color w:val="5A7D3A"/>
          <w:sz w:val="18"/>
        </w:rPr>
        <w:t>https://pubmed.ncbi.nlm.nih.gov/42661209/</w:t>
      </w:r>
    </w:p>
    <w:p>
      <w:pPr>
        <w:pStyle w:val="Heading2"/>
      </w:pPr>
      <w:r>
        <w:t>Sinnvolle Partizipation von Angehörigen in psychiatrischer Versorgung: Was braucht es</w:t>
      </w:r>
    </w:p>
    <w:p>
      <w:r>
        <w:rPr>
          <w:i/>
          <w:color w:val="666666"/>
          <w:sz w:val="18"/>
        </w:rPr>
        <w:t>Dietrich N et al.  ·  BMC Psychiatry  ·  26.08.2026  ·  PMID 42661201</w:t>
      </w:r>
    </w:p>
    <w:p>
      <w:r>
        <w:t>Qualitative Studie mit 30 Angehörigen aus Deutschland zu ihren Erfahrungen und Erwartungen bei Beteiligung in der psychiatrischen Behandlung.</w:t>
      </w:r>
    </w:p>
    <w:p>
      <w:r>
        <w:rPr>
          <w:b/>
        </w:rPr>
        <w:t xml:space="preserve">Ergebnis: </w:t>
      </w:r>
      <w:r>
        <w:t>Angehörige forderten netzwerk-bewusste Klinikkultur, Anerkennung als Partner, unterschiedliche Partizipationsformen je nach Phase (Schock-, Ausdauer-, Übergangsphasen). Ohne strukturelle und kulturelle Integration bleiben Partizipationsmöglichkeiten fragmentarisch und belastend.</w:t>
      </w:r>
    </w:p>
    <w:p>
      <w:r>
        <w:rPr>
          <w:b/>
          <w:sz w:val="19"/>
        </w:rPr>
        <w:t xml:space="preserve">Übertragbarkeit: </w:t>
      </w:r>
      <w:r>
        <w:rPr>
          <w:sz w:val="19"/>
        </w:rPr>
        <w:t>Deutschland, strukturelle Rahmenbedingungen ähnlich wie deutsches System</w:t>
      </w:r>
    </w:p>
    <w:p>
      <w:r>
        <w:rPr>
          <w:color w:val="5A7D3A"/>
          <w:sz w:val="18"/>
        </w:rPr>
        <w:t>https://pubmed.ncbi.nlm.nih.gov/42661201/</w:t>
      </w:r>
    </w:p>
    <w:p>
      <w:pPr>
        <w:pStyle w:val="Heading2"/>
      </w:pPr>
      <w:r>
        <w:t>Mitgefühlsmüdigkeit und Organisationsrisiken in pädiatrischer Onkologie: Strukturelle Defizite</w:t>
      </w:r>
    </w:p>
    <w:p>
      <w:r>
        <w:rPr>
          <w:i/>
          <w:color w:val="666666"/>
          <w:sz w:val="18"/>
        </w:rPr>
        <w:t>Galanti T et al.  ·  Int J Environ Res Public Health  ·  28.07.2026  ·  PMID 42652297</w:t>
      </w:r>
    </w:p>
    <w:p>
      <w:r>
        <w:t>Qualitative Studie mit 15 Pflegekräften in italienischen Onko-Hospizen zu beruflichen Belastungsfaktoren und Organisationsmängeln.</w:t>
      </w:r>
    </w:p>
    <w:p>
      <w:r>
        <w:rPr>
          <w:b/>
        </w:rPr>
        <w:t xml:space="preserve">Ergebnis: </w:t>
      </w:r>
      <w:r>
        <w:t>Berichtete Kündigungsabsicht korrelierte mit fehlender psychologischer Nachbetreuung, kumulativer emotionaler Belastung, insuffizienter Palliativschulung und quasi völliger Abwesenheit von organisationalem Vokabular für kollegiale Unterstützung.</w:t>
      </w:r>
    </w:p>
    <w:p>
      <w:r>
        <w:rPr>
          <w:b/>
          <w:sz w:val="19"/>
        </w:rPr>
        <w:t xml:space="preserve">Übertragbarkeit: </w:t>
      </w:r>
      <w:r>
        <w:rPr>
          <w:sz w:val="19"/>
        </w:rPr>
        <w:t>Italien, vergleichbar europäische Pflegekontexte mit ähnlichen Stressoren</w:t>
      </w:r>
    </w:p>
    <w:p>
      <w:r>
        <w:rPr>
          <w:color w:val="5A7D3A"/>
          <w:sz w:val="18"/>
        </w:rPr>
        <w:t>https://pubmed.ncbi.nlm.nih.gov/42652297/</w:t>
      </w:r>
    </w:p>
    <w:p>
      <w:pPr>
        <w:pStyle w:val="Heading2"/>
      </w:pPr>
      <w:r>
        <w:t>WHO-Schulung für Angehörige von Kindern mit Entwicklungsstörungen: Machbarkeit und Wirkung</w:t>
      </w:r>
    </w:p>
    <w:p>
      <w:r>
        <w:rPr>
          <w:i/>
          <w:color w:val="666666"/>
          <w:sz w:val="18"/>
        </w:rPr>
        <w:t>Megersa SW et al.  ·  BMC Health Serv Res  ·  08.08.2026  ·  PMID 42576219</w:t>
      </w:r>
    </w:p>
    <w:p>
      <w:r>
        <w:t>Mixed-Methods-Studie in Äthiopien mit 127 Angehörigen und Vor-Nach-Design zu Effekten einer WHO-Caregiver-Skilltraining.</w:t>
      </w:r>
    </w:p>
    <w:p>
      <w:r>
        <w:rPr>
          <w:b/>
        </w:rPr>
        <w:t xml:space="preserve">Ergebnis: </w:t>
      </w:r>
      <w:r>
        <w:t>Psychologische (Mdiff=3,01, p=0,019) und Umweltdomänen (Mdiff=4,97, p&lt;0,001) verbesserten sich signifikant. Gesamtlebensqualität und Gesamtbelastung zeigten Trends, erreichten aber nicht Signifikanz (p=0,052 bzw. 0,277). 100% Adhärenz bei denen mit ≥7 Sitzungen.</w:t>
      </w:r>
    </w:p>
    <w:p>
      <w:r>
        <w:rPr>
          <w:b/>
          <w:sz w:val="19"/>
        </w:rPr>
        <w:t xml:space="preserve">Übertragbarkeit: </w:t>
      </w:r>
      <w:r>
        <w:rPr>
          <w:sz w:val="19"/>
        </w:rPr>
        <w:t>Äthiopien: Prinzipien ressourcentauglich, Anpassungen an Langzeitpflege möglich</w:t>
      </w:r>
    </w:p>
    <w:p>
      <w:r>
        <w:rPr>
          <w:color w:val="5A7D3A"/>
          <w:sz w:val="18"/>
        </w:rPr>
        <w:t>https://pubmed.ncbi.nlm.nih.gov/42576219/</w:t>
      </w:r>
    </w:p>
    <w:p>
      <w:pPr>
        <w:pStyle w:val="Heading2"/>
      </w:pPr>
      <w:r>
        <w:t>Pflegeerfahrungen Angehöriger in pädiatrischer Onkologie: Was verbessert die Versorgungsqualität</w:t>
      </w:r>
    </w:p>
    <w:p>
      <w:r>
        <w:rPr>
          <w:i/>
          <w:color w:val="666666"/>
          <w:sz w:val="18"/>
        </w:rPr>
        <w:t>Wiśniewska K et al.  ·  J Nurs Scholarsh  ·  Sept. 2026  ·  PMID 42573535</w:t>
      </w:r>
    </w:p>
    <w:p>
      <w:r>
        <w:t>Querschnittsstudie mit 813 primären Angehörigen von krebskranken Kindern in 14 polnischen Zentren zu ihren Versorgungserfahrungen.</w:t>
      </w:r>
    </w:p>
    <w:p>
      <w:r>
        <w:rPr>
          <w:b/>
        </w:rPr>
        <w:t xml:space="preserve">Ergebnis: </w:t>
      </w:r>
      <w:r>
        <w:t>Höchste Zufriedenheit bei Reaktion auf Ruftaste (84,30%), niedrigste bei Fehlerprävention (25,66%). 68,39% gaben Bestnote für das Krankenhaus, 63,22% würden es empfehlen. Kommunikation und Komforterleben waren für Angehörige entscheidend.</w:t>
      </w:r>
    </w:p>
    <w:p>
      <w:r>
        <w:rPr>
          <w:b/>
          <w:sz w:val="19"/>
        </w:rPr>
        <w:t xml:space="preserve">Übertragbarkeit: </w:t>
      </w:r>
      <w:r>
        <w:rPr>
          <w:sz w:val="19"/>
        </w:rPr>
        <w:t>Polen, europäische Versorgungsstrukturen, vergleichbare Anforderungen</w:t>
      </w:r>
    </w:p>
    <w:p>
      <w:r>
        <w:rPr>
          <w:color w:val="5A7D3A"/>
          <w:sz w:val="18"/>
        </w:rPr>
        <w:t>https://pubmed.ncbi.nlm.nih.gov/42573535/</w:t>
      </w:r>
    </w:p>
    <w:p>
      <w:pPr>
        <w:pStyle w:val="Heading1"/>
      </w:pPr>
      <w:r>
        <w:t>Aufgenommen am 28.08.2026</w:t>
      </w:r>
    </w:p>
    <w:p>
      <w:pPr>
        <w:pStyle w:val="Heading2"/>
      </w:pPr>
      <w:r>
        <w:t>Akzeptanz von Pflegefachpersonen-geführten Sprechstunden in der Hausarztpraxis: Was deutsche Patienten bereit sind zu akzeptieren</w:t>
      </w:r>
    </w:p>
    <w:p>
      <w:r>
        <w:rPr>
          <w:i/>
          <w:color w:val="666666"/>
          <w:sz w:val="18"/>
        </w:rPr>
        <w:t>Wiens C et al.  ·  Eur J Gen Pract  ·  27.08.2026  ·  PMID 42658616</w:t>
      </w:r>
    </w:p>
    <w:p>
      <w:r>
        <w:t>Die Studie untersuchte die Bereitschaft der deutschen Bevölkerung, von Pflegefachpersonen geführte Konsultationen in der Hausarztpraxis zu akzeptieren.</w:t>
      </w:r>
    </w:p>
    <w:p>
      <w:r>
        <w:rPr>
          <w:b/>
        </w:rPr>
        <w:t xml:space="preserve">Ergebnis: </w:t>
      </w:r>
      <w:r>
        <w:t>83,6 % der Befragten ohne bisherige Erfahrung zeigten Bereitschaft, von Pflegefachpersonen betreut zu werden. Höheres Vertrauen in deren Fachkompetenz (OR 2,46; 95 % KI 1,60–3,82) und Kommunikationsfähigkeit (OR 1,80; 95 % KI 1,18–2,75) erhöhte die Akzeptanz; höheres Alter (OR 0,32) und Einzelpraxen (OR 0,69; 95 % KI 0,48–0,99) verringerten sie.</w:t>
      </w:r>
    </w:p>
    <w:p>
      <w:r>
        <w:rPr>
          <w:b/>
          <w:sz w:val="19"/>
        </w:rPr>
        <w:t xml:space="preserve">Übertragbarkeit: </w:t>
      </w:r>
      <w:r>
        <w:rPr>
          <w:sz w:val="19"/>
        </w:rPr>
        <w:t>Deutschland – Bevölkerungsbefragung, repräsentativ stratifiziert.</w:t>
      </w:r>
    </w:p>
    <w:p>
      <w:r>
        <w:rPr>
          <w:color w:val="5A7D3A"/>
          <w:sz w:val="18"/>
        </w:rPr>
        <w:t>https://pubmed.ncbi.nlm.nih.gov/42658616/</w:t>
      </w:r>
    </w:p>
    <w:p>
      <w:pPr>
        <w:pStyle w:val="Heading2"/>
      </w:pPr>
      <w:r>
        <w:t>Arzneimittelliteracy-Assessment in der Spitex: Implementierungsbarrieren und Erfolgsfaktoren</w:t>
      </w:r>
    </w:p>
    <w:p>
      <w:r>
        <w:rPr>
          <w:i/>
          <w:color w:val="666666"/>
          <w:sz w:val="18"/>
        </w:rPr>
        <w:t>Stenz S et al.  ·  Nurs Open  ·  Sept. 2026  ·  PMID 42656024</w:t>
      </w:r>
    </w:p>
    <w:p>
      <w:r>
        <w:t>Schweizer Pilotstudie zu Implementierungsfaktoren eines strukturierten Assessments zur Arzneimittelliteracy älterer Patienten in Pflegediensten.</w:t>
      </w:r>
    </w:p>
    <w:p>
      <w:r>
        <w:rPr>
          <w:b/>
        </w:rPr>
        <w:t xml:space="preserve">Ergebnis: </w:t>
      </w:r>
      <w:r>
        <w:t>Pflegefachpersonen identifizierten Barrieren: unzureichende Kommunikationsfähigkeiten, Wissensdefizite zu Assessmentinstrumenten, unklare Rollen in interprofessionellen Teams. Erfolgreiche Implementierung erforderte Bewusstsein für Patientennutzen, verständliche Anleitungen und klare Rollenklarheit. Interprofessionale Kollaboration war durch fehlende Kommunikation behindert.</w:t>
      </w:r>
    </w:p>
    <w:p>
      <w:r>
        <w:rPr>
          <w:b/>
          <w:sz w:val="19"/>
        </w:rPr>
        <w:t xml:space="preserve">Übertragbarkeit: </w:t>
      </w:r>
      <w:r>
        <w:rPr>
          <w:sz w:val="19"/>
        </w:rPr>
        <w:t>Schweiz – vergleichbares Versicherungssystem, Spitex-Setting transferierbar.</w:t>
      </w:r>
    </w:p>
    <w:p>
      <w:r>
        <w:rPr>
          <w:color w:val="5A7D3A"/>
          <w:sz w:val="18"/>
        </w:rPr>
        <w:t>https://pubmed.ncbi.nlm.nih.gov/42656024/</w:t>
      </w:r>
    </w:p>
    <w:p>
      <w:pPr>
        <w:pStyle w:val="Heading2"/>
      </w:pPr>
      <w:r>
        <w:t>Zufriedenheit und Burnout im Notarztdienst: Was Freizeit für die Pflegefachpersonen bewirkt</w:t>
      </w:r>
    </w:p>
    <w:p>
      <w:r>
        <w:rPr>
          <w:i/>
          <w:color w:val="666666"/>
          <w:sz w:val="18"/>
        </w:rPr>
        <w:t>Neto S et al.  ·  Int J Environ Res Public Health  ·  12.08.2026  ·  PMID 42652364</w:t>
      </w:r>
    </w:p>
    <w:p>
      <w:r>
        <w:t>Portugiesische Querschnittstudie zu Faktoren der Arbeitszufriedenheit und Engagement von 103 Pflegefachpersonen im Notarztdienst.</w:t>
      </w:r>
    </w:p>
    <w:p>
      <w:r>
        <w:rPr>
          <w:b/>
        </w:rPr>
        <w:t xml:space="preserve">Ergebnis: </w:t>
      </w:r>
      <w:r>
        <w:t>Moderate Arbeitszufriedenheit insgesamt (M = 4,91; SD = 0,96). Freizeit- und Erholungsaktivitäten außerhalb der Arbeit waren statistisch signifikant mit höherer Arbeitszufriedenheit assoziiert. Engagement hatte den höchsten Mittelwert (M = 5,42), Jobzufriedenheit den niedrigsten (M = 4,04).</w:t>
      </w:r>
    </w:p>
    <w:p>
      <w:r>
        <w:rPr>
          <w:b/>
          <w:sz w:val="19"/>
        </w:rPr>
        <w:t xml:space="preserve">Übertragbarkeit: </w:t>
      </w:r>
      <w:r>
        <w:rPr>
          <w:sz w:val="19"/>
        </w:rPr>
        <w:t>Portugal – Notfallversorgung, Befunde zur Work-Life-Balance übertragbar.</w:t>
      </w:r>
    </w:p>
    <w:p>
      <w:r>
        <w:rPr>
          <w:color w:val="5A7D3A"/>
          <w:sz w:val="18"/>
        </w:rPr>
        <w:t>https://pubmed.ncbi.nlm.nih.gov/42652364/</w:t>
      </w:r>
    </w:p>
    <w:p>
      <w:pPr>
        <w:pStyle w:val="Heading2"/>
      </w:pPr>
      <w:r>
        <w:t>Selbstwirksamkeit moderiert Kompetenzentwicklung von Pflegeleiterinnen: strukturelle und persönliche Faktoren</w:t>
      </w:r>
    </w:p>
    <w:p>
      <w:r>
        <w:rPr>
          <w:i/>
          <w:color w:val="666666"/>
          <w:sz w:val="18"/>
        </w:rPr>
        <w:t>Ivziku D et al.  ·  J Nurs Scholarsh  ·  Sept. 2026  ·  PMID 42644668</w:t>
      </w:r>
    </w:p>
    <w:p>
      <w:r>
        <w:t>Italienische Querschnittstudie an 382 mittleren Pflegeleiterinnen zur Frage, welche organisatorischen und persönlichen Faktoren deren Managementkompetenz vorhersagen.</w:t>
      </w:r>
    </w:p>
    <w:p>
      <w:r>
        <w:rPr>
          <w:b/>
        </w:rPr>
        <w:t xml:space="preserve">Ergebnis: </w:t>
      </w:r>
      <w:r>
        <w:t>Fachliche Eignung, Autonomie und Rollenklarheit waren signifikant mit Kompetenzkenntnissen assoziiert. Selbstwirksamkeit moderierte diese Beziehungen: Bei höherer Selbstwirksamkeit reduzierte sich die Abhängigkeit von Ausbildungsadäquatheit (β = −0,456 für Wissen; β = −0,459 für Anwendung; p &lt; 0,001).</w:t>
      </w:r>
    </w:p>
    <w:p>
      <w:r>
        <w:rPr>
          <w:b/>
          <w:sz w:val="19"/>
        </w:rPr>
        <w:t xml:space="preserve">Übertragbarkeit: </w:t>
      </w:r>
      <w:r>
        <w:rPr>
          <w:sz w:val="19"/>
        </w:rPr>
        <w:t>Italien – Strukturen vergleichbar, Befunde zur Leitungskompetenz relevant.</w:t>
      </w:r>
    </w:p>
    <w:p>
      <w:r>
        <w:rPr>
          <w:color w:val="5A7D3A"/>
          <w:sz w:val="18"/>
        </w:rPr>
        <w:t>https://pubmed.ncbi.nlm.nih.gov/42644668/</w:t>
      </w:r>
    </w:p>
    <w:p>
      <w:pPr>
        <w:pStyle w:val="Heading2"/>
      </w:pPr>
      <w:r>
        <w:t>Strukturiertes Entlassmanagement nach Herzinfarkt und Herzinsuffizienz: Machbarkeit und klinische Ergebnisse</w:t>
      </w:r>
    </w:p>
    <w:p>
      <w:r>
        <w:rPr>
          <w:i/>
          <w:color w:val="666666"/>
          <w:sz w:val="18"/>
        </w:rPr>
        <w:t>Avanzini F et al.  ·  G Ital Cardiol (Rome)  ·  Sept. 2026  ·  PMID 42643139</w:t>
      </w:r>
    </w:p>
    <w:p>
      <w:r>
        <w:t>Italienische prospektive Beobachtungsstudie zu einem ärztlich-pflegerischen Folgeprogramm nach Krankenhausentlassung wegen Myokardinfarkt oder Herzinsuffizienz über 12 Monate.</w:t>
      </w:r>
    </w:p>
    <w:p>
      <w:r>
        <w:rPr>
          <w:b/>
        </w:rPr>
        <w:t xml:space="preserve">Ergebnis: </w:t>
      </w:r>
      <w:r>
        <w:t>Von 343 Herzinfarkt-Patienten eingeschlossen: 263 (76,7 %); Completion 222 (84,4 %). Adhärenz und Zufriedenheit hoch. Six von sieben ESC-Qualitätsindikatoren für Herzinfarkt in &gt;90 % erreicht, 10 von 14 für Herzinsuffizienz. Adhärenz zu Medikation hoch; Defizite bei Risikofaktorkontrolle und Lebensstiländerungen.</w:t>
      </w:r>
    </w:p>
    <w:p>
      <w:r>
        <w:rPr>
          <w:b/>
          <w:sz w:val="19"/>
        </w:rPr>
        <w:t xml:space="preserve">Übertragbarkeit: </w:t>
      </w:r>
      <w:r>
        <w:rPr>
          <w:sz w:val="19"/>
        </w:rPr>
        <w:t>Italien – Ambulante Nachsorge in Gemeindesettings, Entlassmanagement-Modell.</w:t>
      </w:r>
    </w:p>
    <w:p>
      <w:r>
        <w:rPr>
          <w:color w:val="5A7D3A"/>
          <w:sz w:val="18"/>
        </w:rPr>
        <w:t>https://pubmed.ncbi.nlm.nih.gov/42643139/</w:t>
      </w:r>
    </w:p>
    <w:p>
      <w:pPr>
        <w:pStyle w:val="Heading2"/>
      </w:pPr>
      <w:r>
        <w:t>Wiegen kritisch kranker Patienten auf der Intensivstation: wo die Praxis an ihre Grenzen stößt</w:t>
      </w:r>
    </w:p>
    <w:p>
      <w:r>
        <w:rPr>
          <w:i/>
          <w:color w:val="666666"/>
          <w:sz w:val="18"/>
        </w:rPr>
        <w:t>Wong A et al.  ·  Nurs Crit Care  ·  Sept. 2026  ·  PMID 42583681</w:t>
      </w:r>
    </w:p>
    <w:p>
      <w:r>
        <w:t>UK-weite Querschnittsbefragung von 530 Intensivpflegefachpersonen, Pharmazeuten und Therapeuten zu Hürden beim Wiegen von Patienten.</w:t>
      </w:r>
    </w:p>
    <w:p>
      <w:r>
        <w:rPr>
          <w:b/>
        </w:rPr>
        <w:t xml:space="preserve">Ergebnis: </w:t>
      </w:r>
      <w:r>
        <w:t>70,8 % berichten Wiegen aller Patienten, aber nur 42,6 % arbeiten in Einheiten mit formalen Wiegprotokollen. Geräteknappheit und Patientenkomplexität wurden als größte Barrieren genannt. Erhebliche Variation in Praxis deutet auf Lücken in Protokollen und Workflows hin.</w:t>
      </w:r>
    </w:p>
    <w:p>
      <w:r>
        <w:rPr>
          <w:b/>
          <w:sz w:val="19"/>
        </w:rPr>
        <w:t xml:space="preserve">Übertragbarkeit: </w:t>
      </w:r>
      <w:r>
        <w:rPr>
          <w:sz w:val="19"/>
        </w:rPr>
        <w:t>UK – Intensive Care Praxis, Dokumentation und Barrier-Analyse übertragbar.</w:t>
      </w:r>
    </w:p>
    <w:p>
      <w:r>
        <w:rPr>
          <w:color w:val="5A7D3A"/>
          <w:sz w:val="18"/>
        </w:rPr>
        <w:t>https://pubmed.ncbi.nlm.nih.gov/42583681/</w:t>
      </w:r>
    </w:p>
    <w:p>
      <w:pPr>
        <w:pStyle w:val="Heading1"/>
      </w:pPr>
      <w:r>
        <w:t>Aufgenommen am 27.08.2026</w:t>
      </w:r>
    </w:p>
    <w:p>
      <w:pPr>
        <w:pStyle w:val="Heading2"/>
      </w:pPr>
      <w:r>
        <w:t>Organisatorische Health Literacy senkt Arbeitsbelastung der Pflegenden</w:t>
      </w:r>
    </w:p>
    <w:p>
      <w:r>
        <w:rPr>
          <w:i/>
          <w:color w:val="666666"/>
          <w:sz w:val="18"/>
        </w:rPr>
        <w:t>Simonetti V et al.  ·  J Nurs Manag  ·  2026  ·  PMID 42643022</w:t>
      </w:r>
    </w:p>
    <w:p>
      <w:r>
        <w:t>Querschnittsstudie an vier italienischen Einrichtungen, die untersucht, wie die Umsetzung von Massnahmen zur Erreichung des Status einer gesundheitskompetenten Organisation (mit zehn definierten Attributen) mit der wahrgenommenen Arbeitsbelastung von Pflegenden und Pflegekoordinatoren zusammenhängt.</w:t>
      </w:r>
    </w:p>
    <w:p>
      <w:r>
        <w:rPr>
          <w:b/>
        </w:rPr>
        <w:t xml:space="preserve">Ergebnis: </w:t>
      </w:r>
      <w:r>
        <w:t>Bei 386 Teilnehmenden zeigte sich ein signifikanter Zusammenhang: Höhere Umsetzung von Health-Literacy-Massnahmen war mit niedrigerer wahrgenommener Arbeitsbelastung assoziiert (p &lt; 0,001). Besonders Pflegende in kritischen und Notfallbereichen berichteten höhere Belastung (p &lt; 0,001). Die Implementierung organisationaler Health-Literacy-Prinzipien könnte damit die Arbeitsbelastung senken.</w:t>
      </w:r>
    </w:p>
    <w:p>
      <w:r>
        <w:rPr>
          <w:b/>
          <w:sz w:val="19"/>
        </w:rPr>
        <w:t xml:space="preserve">Übertragbarkeit: </w:t>
      </w:r>
      <w:r>
        <w:rPr>
          <w:sz w:val="19"/>
        </w:rPr>
        <w:t>Italien, vergleichbare Pflegestrukturen in europäischem Kontext</w:t>
      </w:r>
    </w:p>
    <w:p>
      <w:r>
        <w:rPr>
          <w:color w:val="5A7D3A"/>
          <w:sz w:val="18"/>
        </w:rPr>
        <w:t>https://pubmed.ncbi.nlm.nih.gov/42643022/</w:t>
      </w:r>
    </w:p>
    <w:p>
      <w:pPr>
        <w:pStyle w:val="Heading2"/>
      </w:pPr>
      <w:r>
        <w:t>Schmerzbeurteilung bei Kindern auf Intensivstationen: Visualisierungsbasiertes Training verbessert Pflegekompetenz</w:t>
      </w:r>
    </w:p>
    <w:p>
      <w:r>
        <w:rPr>
          <w:i/>
          <w:color w:val="666666"/>
          <w:sz w:val="18"/>
        </w:rPr>
        <w:t>Rong X et al.  ·  Nurs Open  ·  Aug. 2026  ·  PMID 42641083</w:t>
      </w:r>
    </w:p>
    <w:p>
      <w:r>
        <w:t>Randomisierte kontrollierte Studie mit 70 Pflegenden der Pädiatrischen Intensivstation eines chinesischen Kinderkrankenhauses, die PainScan (visualisierungsbasiertes Trainingsmodul) gegen Standardtraining verglichen.</w:t>
      </w:r>
    </w:p>
    <w:p>
      <w:r>
        <w:rPr>
          <w:b/>
        </w:rPr>
        <w:t xml:space="preserve">Ergebnis: </w:t>
      </w:r>
      <w:r>
        <w:t>Beide Trainingsformen verbesserten Wissen und Fertigkeiten der Pflegenden signifikant (beide p&lt;0,001). PainScan zeigte jedoch überlegene Entwicklung praktischer Fertigkeiten (Z=-3,644, p&lt;0,001). Qualitativ: Plattform ermöglichte realistische, immersive und flexible Lernansätze, zeigte aber Mängel in Betreuung und Skalierbarkeit. PainScan ist praktisch und kosteneffektiv für Kompetenzentwicklung.</w:t>
      </w:r>
    </w:p>
    <w:p>
      <w:r>
        <w:rPr>
          <w:b/>
          <w:sz w:val="19"/>
        </w:rPr>
        <w:t xml:space="preserve">Übertragbarkeit: </w:t>
      </w:r>
      <w:r>
        <w:rPr>
          <w:sz w:val="19"/>
        </w:rPr>
        <w:t>China, Trainingsmethodik übertragbar auf deutsche Klinikpflege-Curricula</w:t>
      </w:r>
    </w:p>
    <w:p>
      <w:r>
        <w:rPr>
          <w:color w:val="5A7D3A"/>
          <w:sz w:val="18"/>
        </w:rPr>
        <w:t>https://pubmed.ncbi.nlm.nih.gov/42641083/</w:t>
      </w:r>
    </w:p>
    <w:p>
      <w:pPr>
        <w:pStyle w:val="Heading2"/>
      </w:pPr>
      <w:r>
        <w:t>Rekrutierung international ausgebildeter Pflegekräfte: Ökosystem-Probleme in Irland gefährden Verbleib und Integration</w:t>
      </w:r>
    </w:p>
    <w:p>
      <w:r>
        <w:rPr>
          <w:i/>
          <w:color w:val="666666"/>
          <w:sz w:val="18"/>
        </w:rPr>
        <w:t>Ryan N et al.  ·  PLoS One  ·  20.08.2026  ·  PMID 42623397</w:t>
      </w:r>
    </w:p>
    <w:p>
      <w:r>
        <w:t>Qualitative Studie mit 21 international ausgebildeten Pflegekräften in Irland, die mittels Fokusgruppen untersucht, wie verschiedene Ebenen des Aufnahmelandes (Makro-, Exo-, Meso-, Mikrosystem) deren Talentmanagement und Verbleib beeinflussen.</w:t>
      </w:r>
    </w:p>
    <w:p>
      <w:r>
        <w:rPr>
          <w:b/>
        </w:rPr>
        <w:t xml:space="preserve">Ergebnis: </w:t>
      </w:r>
      <w:r>
        <w:t>Auf Makroebene: Politik zu Wohnen, Kinderbetreuung und Visavergabe behindern Arbeitsfähigkeit. Exoebene zeigt Rekrutierungslücken, Rollenkonfusionen und Sprachprobleme. Meso-/Mikrosystem: Probleme mit Führung und Arbeitsumgebung erschweren Alltag. Zentrale Erkenntnis: nationale Strukturen schaffen den Kontext, in dem alle anderen Systeme funktionieren oder scheitern.</w:t>
      </w:r>
    </w:p>
    <w:p>
      <w:r>
        <w:rPr>
          <w:b/>
          <w:sz w:val="19"/>
        </w:rPr>
        <w:t xml:space="preserve">Übertragbarkeit: </w:t>
      </w:r>
      <w:r>
        <w:rPr>
          <w:sz w:val="19"/>
        </w:rPr>
        <w:t>Irland, EU-Land mit ähnlichen Rekrutierungszwängen wie deutschsprachige Länder</w:t>
      </w:r>
    </w:p>
    <w:p>
      <w:r>
        <w:rPr>
          <w:color w:val="5A7D3A"/>
          <w:sz w:val="18"/>
        </w:rPr>
        <w:t>https://pubmed.ncbi.nlm.nih.gov/42623397/</w:t>
      </w:r>
    </w:p>
    <w:p>
      <w:pPr>
        <w:pStyle w:val="Heading2"/>
      </w:pPr>
      <w:r>
        <w:t>Videokonferenzen mit Hausarzt im Pflegeheim: Versorgungsqualität und Bewohnererfahrungen in Nordschwedens</w:t>
      </w:r>
    </w:p>
    <w:p>
      <w:r>
        <w:rPr>
          <w:i/>
          <w:color w:val="666666"/>
          <w:sz w:val="18"/>
        </w:rPr>
        <w:t>Ärlebrant L et al.  ·  J Prim Care Community Health  ·  18.08.2026  ·  PMID 42610623</w:t>
      </w:r>
    </w:p>
    <w:p>
      <w:r>
        <w:t>Qualitative Studie mit zehn Heimbewohnern (Alter 59-96 Jahren) aus drei ländlichen Gemeinden Nordschwedens, die ihre Erfahrungen mit Videokonferenzen zu ihrem Hausarzt beschrieben.</w:t>
      </w:r>
    </w:p>
    <w:p>
      <w:r>
        <w:rPr>
          <w:b/>
        </w:rPr>
        <w:t xml:space="preserve">Ergebnis: </w:t>
      </w:r>
      <w:r>
        <w:t>Zwei Hauptthemen identifiziert: emotionale Ambivalenz (Verbundenheit und gleichzeitig Distanz) und Bedingungen, die Videokonferenzen ermöglichen oder behindern (Ärztliches Verhalten spielte zentrale Rolle). Obwohl Einstellungen positiver werden, sollten Videokonferenzen nur Ergänzung zu persönlichen Gesprächen sein; Risiken wie verminderte Autonomie und Datenschutzsorgen müssen adressiert werden.</w:t>
      </w:r>
    </w:p>
    <w:p>
      <w:r>
        <w:rPr>
          <w:b/>
          <w:sz w:val="19"/>
        </w:rPr>
        <w:t xml:space="preserve">Übertragbarkeit: </w:t>
      </w:r>
      <w:r>
        <w:rPr>
          <w:sz w:val="19"/>
        </w:rPr>
        <w:t>Schweden, ländliche Strukturen ähnlich Deutschland, Datenschutzrahmen vergleichbar</w:t>
      </w:r>
    </w:p>
    <w:p>
      <w:r>
        <w:rPr>
          <w:color w:val="5A7D3A"/>
          <w:sz w:val="18"/>
        </w:rPr>
        <w:t>https://pubmed.ncbi.nlm.nih.gov/42610623/</w:t>
      </w:r>
    </w:p>
    <w:p>
      <w:pPr>
        <w:pStyle w:val="Heading2"/>
      </w:pPr>
      <w:r>
        <w:t>Mechanische Fixierung in der Forensischen Psychiatrie vermeiden: Prävention durch Deeskalation und Sicherheitsempfinden</w:t>
      </w:r>
    </w:p>
    <w:p>
      <w:r>
        <w:rPr>
          <w:i/>
          <w:color w:val="666666"/>
          <w:sz w:val="18"/>
        </w:rPr>
        <w:t>Gildberg FA et al.  ·  Arch Psychiatr Nurs  ·  20.06.2026  ·  PMID 42608097</w:t>
      </w:r>
    </w:p>
    <w:p>
      <w:r>
        <w:t>Sekundäranalyse von 58 Interviews mit forensisch-psychiatrischen Patienten (n=19), deren Angehörigen (n=15) und Pflegepersonal (n=24), um Ursachen mechanischer Fixierungen und Präventionsmöglichkeiten zu erkunden.</w:t>
      </w:r>
    </w:p>
    <w:p>
      <w:r>
        <w:rPr>
          <w:b/>
        </w:rPr>
        <w:t xml:space="preserve">Ergebnis: </w:t>
      </w:r>
      <w:r>
        <w:t>Zentrale Befunde: Fixierungen entstehen aus Konflikten zwischen Patientenfaktoren und niedriger Konflikttoleranzen des Personals. Entscheidungsfindung wird durch professionelle Fähigkeiten, persönliche Einstellungen, Angst und wahrgenommene Sicherheit geprägt. Erhöhte Angst führt zu negativen Strategien, wahrgenommene Sicherheit zu konstruktiven Ansätzen. Dies sei entscheidend für Interventionen zur Reduktion von Fixierungen.</w:t>
      </w:r>
    </w:p>
    <w:p>
      <w:r>
        <w:rPr>
          <w:b/>
          <w:sz w:val="19"/>
        </w:rPr>
        <w:t xml:space="preserve">Übertragbarkeit: </w:t>
      </w:r>
      <w:r>
        <w:rPr>
          <w:sz w:val="19"/>
        </w:rPr>
        <w:t>Dänemark, europäisches Psychiatriesystem mit Fokus auf Deeskalation</w:t>
      </w:r>
    </w:p>
    <w:p>
      <w:r>
        <w:rPr>
          <w:color w:val="5A7D3A"/>
          <w:sz w:val="18"/>
        </w:rPr>
        <w:t>https://pubmed.ncbi.nlm.nih.gov/42608097/</w:t>
      </w:r>
    </w:p>
    <w:p>
      <w:pPr>
        <w:pStyle w:val="Heading2"/>
      </w:pPr>
      <w:r>
        <w:t>Beurteilung von Geburtshilfe und Wöchnerinnenversorgung durch ukrainische Migrantinnen in Polen</w:t>
      </w:r>
    </w:p>
    <w:p>
      <w:r>
        <w:rPr>
          <w:i/>
          <w:color w:val="666666"/>
          <w:sz w:val="18"/>
        </w:rPr>
        <w:t>Omachel K et al.  ·  Front Public Health  ·  29.07.2026  ·  PMID 42591482</w:t>
      </w:r>
    </w:p>
    <w:p>
      <w:r>
        <w:t>Querschnittsstudie mit 481 ukrainischen Migrantinnen, die zwischen Dezember 2024 und Februar 2025 in Polen entbunden haben; Befragung zur Zufriedenheit mit Geburtshilfe und Wöchnerinnenversorgung und Analyse assoziierter Faktoren.</w:t>
      </w:r>
    </w:p>
    <w:p>
      <w:r>
        <w:rPr>
          <w:b/>
        </w:rPr>
        <w:t xml:space="preserve">Ergebnis: </w:t>
      </w:r>
      <w:r>
        <w:t>Migrantinnen bewerteten Geburtshilfe (M=8,8) und Wöchnerinnenversorgung (M=9,0) sehr positiv. Der stärkste Einflussfaktor waren erfüllte Geburtsererwartungen (p&lt;0,05); negativ wirkte Diskriminierung oder Demütigung (p&lt;0,05). Signifikante Interaktion: Erfüllung von Erwartungen und Ankunftszeitpunkt in Polen beide relevant für Bewertung (β=0,328 und 0,248).</w:t>
      </w:r>
    </w:p>
    <w:p>
      <w:r>
        <w:rPr>
          <w:b/>
          <w:sz w:val="19"/>
        </w:rPr>
        <w:t xml:space="preserve">Übertragbarkeit: </w:t>
      </w:r>
      <w:r>
        <w:rPr>
          <w:sz w:val="19"/>
        </w:rPr>
        <w:t>Polen, EU-Kontext mit ähnlichen Migrationssituationen wie Deutschland</w:t>
      </w:r>
    </w:p>
    <w:p>
      <w:r>
        <w:rPr>
          <w:color w:val="5A7D3A"/>
          <w:sz w:val="18"/>
        </w:rPr>
        <w:t>https://pubmed.ncbi.nlm.nih.gov/42591482/</w:t>
      </w:r>
    </w:p>
    <w:p>
      <w:pPr>
        <w:pStyle w:val="Heading2"/>
      </w:pPr>
      <w:r>
        <w:t>Postgraduale Qualifikation und Resilienz fördern Managementkarrieren von Pflegefachpersonen in Irland</w:t>
      </w:r>
    </w:p>
    <w:p>
      <w:r>
        <w:rPr>
          <w:i/>
          <w:color w:val="666666"/>
          <w:sz w:val="18"/>
        </w:rPr>
        <w:t>Berkery E et al.  ·  PLoS One  ·  07.08.2026  ·  PMID 42566384</w:t>
      </w:r>
    </w:p>
    <w:p>
      <w:r>
        <w:t>Querschnittsstudie mit 263 Pflegefachpersonen eines grossen Hospitalverbunds in Irland, die untersucht, welche persönlichen, arbeitsbezogenen und organisatorischen Faktoren Karriereambitionen im Pflegemanagement vorhersagen.</w:t>
      </w:r>
    </w:p>
    <w:p>
      <w:r>
        <w:rPr>
          <w:b/>
        </w:rPr>
        <w:t xml:space="preserve">Ergebnis: </w:t>
      </w:r>
      <w:r>
        <w:t>Postgraduale Qualifikation (β=2,92, p&lt;0,001) und höhere Resilienz (β=2,22, p&lt;0,001) waren unabhängige Prädiktoren für Managementambitionen. Bivariate Korrelation: Resilienz zeigte stärksten positiven Zusammenhang mit Karriereambitionen (r=0,418, p&lt;0,01). Empfehlung: Hospitalmanagement sollte Unterstützung für Weiterbildung und Resilienz-Trainings etablieren, um Führungspipeline zu sichern.</w:t>
      </w:r>
    </w:p>
    <w:p>
      <w:r>
        <w:rPr>
          <w:b/>
          <w:sz w:val="19"/>
        </w:rPr>
        <w:t xml:space="preserve">Übertragbarkeit: </w:t>
      </w:r>
      <w:r>
        <w:rPr>
          <w:sz w:val="19"/>
        </w:rPr>
        <w:t>Irland, UK-ähnliches System, übertragbar auf deutschsprachigen Kontext mit vergleichbaren Managementherausforderungen</w:t>
      </w:r>
    </w:p>
    <w:p>
      <w:r>
        <w:rPr>
          <w:color w:val="5A7D3A"/>
          <w:sz w:val="18"/>
        </w:rPr>
        <w:t>https://pubmed.ncbi.nlm.nih.gov/42566384/</w:t>
      </w:r>
    </w:p>
    <w:p>
      <w:pPr>
        <w:pStyle w:val="Heading1"/>
      </w:pPr>
      <w:r>
        <w:t>Aufgenommen am 26.08.2026</w:t>
      </w:r>
    </w:p>
    <w:p>
      <w:pPr>
        <w:pStyle w:val="Heading2"/>
      </w:pPr>
      <w:r>
        <w:t>Eltern in der Neonatologie: Kommunikation und emotionale Unterstützung unzureichend</w:t>
      </w:r>
    </w:p>
    <w:p>
      <w:r>
        <w:rPr>
          <w:i/>
          <w:color w:val="666666"/>
          <w:sz w:val="18"/>
        </w:rPr>
        <w:t>Larsen LG et al.  ·  Scand J Caring Sci  ·  Sept. 2026  ·  PMID 42614042</w:t>
      </w:r>
    </w:p>
    <w:p>
      <w:r>
        <w:t>Qualitative Analyse von 311 Elternfragebögen zu Familienintegration in einer dänischen Level-IV-NICU mit familienzentriertem Ansatz.</w:t>
      </w:r>
    </w:p>
    <w:p>
      <w:r>
        <w:rPr>
          <w:b/>
        </w:rPr>
        <w:t xml:space="preserve">Ergebnis: </w:t>
      </w:r>
      <w:r>
        <w:t>Zwei Themen: Kommunikationsmängel und fehlende Anerkennung (Eltern fühlen sich ausgeschlossen, emotionale Unterstützung, Privatsphäre, Bonding vernachlässigt) sowie Mangel an individualisierter, familienbezogener Versorgung. Eltern berichten über Verwirrung und Unsicherheit.</w:t>
      </w:r>
    </w:p>
    <w:p>
      <w:r>
        <w:rPr>
          <w:b/>
          <w:sz w:val="19"/>
        </w:rPr>
        <w:t xml:space="preserve">Übertragbarkeit: </w:t>
      </w:r>
      <w:r>
        <w:rPr>
          <w:sz w:val="19"/>
        </w:rPr>
        <w:t>Skandinavien, vergleichbares Versicherungssystem; Befunde sind patientenberichtet.</w:t>
      </w:r>
    </w:p>
    <w:p>
      <w:r>
        <w:rPr>
          <w:color w:val="5A7D3A"/>
          <w:sz w:val="18"/>
        </w:rPr>
        <w:t>https://pubmed.ncbi.nlm.nih.gov/42614042/</w:t>
      </w:r>
    </w:p>
    <w:p>
      <w:pPr>
        <w:pStyle w:val="Heading1"/>
      </w:pPr>
      <w:r>
        <w:t>Aufgenommen am 25.08.2026</w:t>
      </w:r>
    </w:p>
    <w:p>
      <w:pPr>
        <w:pStyle w:val="Heading2"/>
      </w:pPr>
      <w:r>
        <w:t>Entlastungsprogram für Angehörige von Menschen mit Demenz: Machbarkeit und Hinweise auf Wirkung</w:t>
      </w:r>
    </w:p>
    <w:p>
      <w:r>
        <w:rPr>
          <w:i/>
          <w:color w:val="666666"/>
          <w:sz w:val="18"/>
        </w:rPr>
        <w:t>Yu Y et al.  ·  Nurs Open  ·  Aug. 2026  ·  PMID 42634407</w:t>
      </w:r>
    </w:p>
    <w:p>
      <w:r>
        <w:t>Interne Pilotstudie mit Mix-Method-Ansatz über 6 Monate mit 84 Angehörigen von Menschen mit Demenz in australischen Gemeinde- und Kliniken zur Machbarkeit und vorläufigen Effekten eines flexiblen iSupport-Programms.</w:t>
      </w:r>
    </w:p>
    <w:p>
      <w:r>
        <w:rPr>
          <w:b/>
        </w:rPr>
        <w:t xml:space="preserve">Ergebnis: </w:t>
      </w:r>
      <w:r>
        <w:t>Rekrutierungsquote 10 %, Beibehaltung 6 Monate 70 %. Engagement variabel über Komponenten. Vorläufig: Trend zu weniger Verhaltensproblemen bei Menschen mit Demenz und weniger Belastungsreaktionen der Angehörigen in der Interventionsgruppe; aber keine klare Evidenz für Effekte auf Lebensqualität oder Selbstwirksamkeit.</w:t>
      </w:r>
    </w:p>
    <w:p>
      <w:r>
        <w:rPr>
          <w:b/>
          <w:sz w:val="19"/>
        </w:rPr>
        <w:t xml:space="preserve">Übertragbarkeit: </w:t>
      </w:r>
      <w:r>
        <w:rPr>
          <w:sz w:val="19"/>
        </w:rPr>
        <w:t>Australien, Demenz-Angehörige, Struktur von Entlastungsangeboten auch auf Deutschland anwendbar</w:t>
      </w:r>
    </w:p>
    <w:p>
      <w:r>
        <w:rPr>
          <w:color w:val="5A7D3A"/>
          <w:sz w:val="18"/>
        </w:rPr>
        <w:t>https://pubmed.ncbi.nlm.nih.gov/42634407/</w:t>
      </w:r>
    </w:p>
    <w:p>
      <w:pPr>
        <w:pStyle w:val="Heading2"/>
      </w:pPr>
      <w:r>
        <w:t>Pflegeleitung entlastet: Kollegiale Unterstützung, Mentoring und Arbeitszeitschutz</w:t>
      </w:r>
    </w:p>
    <w:p>
      <w:r>
        <w:rPr>
          <w:i/>
          <w:color w:val="666666"/>
          <w:sz w:val="18"/>
        </w:rPr>
        <w:t>Johansen JH et al.  ·  J Nurs Manag  ·  2026  ·  PMID 42634271</w:t>
      </w:r>
    </w:p>
    <w:p>
      <w:r>
        <w:t>Qualitative Studie mit 22 semistrukturierten Interviews (18 Pflegeleiter, 4 andere Gesundheitsmanager) aus dänischer Region zur Identifikation von Ressourcen und Risiken für Wohlbefinden von Pflegeleitern auf relativen und organisatorischen Ebenen.</w:t>
      </w:r>
    </w:p>
    <w:p>
      <w:r>
        <w:rPr>
          <w:b/>
        </w:rPr>
        <w:t xml:space="preserve">Ergebnis: </w:t>
      </w:r>
      <w:r>
        <w:t>Vier kritische Ebenen: unmittelbare Führung, Peer-Leitungsgruppen, übergreifendes Mentoring, Arbeitssystemstrukturen. Schutzfaktoren: unterstützende Vorgesetzte, Peer-Sicherheit in Gruppen, Mentoring, bewältigbare Workloads. Ohne diese entstehen Isolation und Überlastung.</w:t>
      </w:r>
    </w:p>
    <w:p>
      <w:r>
        <w:rPr>
          <w:b/>
          <w:sz w:val="19"/>
        </w:rPr>
        <w:t xml:space="preserve">Übertragbarkeit: </w:t>
      </w:r>
      <w:r>
        <w:rPr>
          <w:sz w:val="19"/>
        </w:rPr>
        <w:t>Dänemark, öffentliches Gesundheitssystem, Leitungsstrukturen übertragbar</w:t>
      </w:r>
    </w:p>
    <w:p>
      <w:r>
        <w:rPr>
          <w:color w:val="5A7D3A"/>
          <w:sz w:val="18"/>
        </w:rPr>
        <w:t>https://pubmed.ncbi.nlm.nih.gov/42634271/</w:t>
      </w:r>
    </w:p>
    <w:p>
      <w:pPr>
        <w:pStyle w:val="Heading2"/>
      </w:pPr>
      <w:r>
        <w:t>Team-basierte Mentorierung von Pflegestudierenden: Was Lernziele erfolgreich macht</w:t>
      </w:r>
    </w:p>
    <w:p>
      <w:r>
        <w:rPr>
          <w:i/>
          <w:color w:val="666666"/>
          <w:sz w:val="18"/>
        </w:rPr>
        <w:t>Karjalainen T et al.  ·  Nurs Open  ·  Aug. 2026  ·  PMID 42614009</w:t>
      </w:r>
    </w:p>
    <w:p>
      <w:r>
        <w:t>Mixed-Methods-Studie mit 397 Pflegestudierenden zur Bewertung von Team-basierten Mentorierungsmodellen im klinischen Praktikum an einem Universitätskrankenhaus in Finnland (2019–2020).</w:t>
      </w:r>
    </w:p>
    <w:p>
      <w:r>
        <w:rPr>
          <w:b/>
        </w:rPr>
        <w:t xml:space="preserve">Ergebnis: </w:t>
      </w:r>
      <w:r>
        <w:t>Drei Schülerprofile identifiziert. Höhere Zufriedenheit, wenn Mentoren professionelle Entwicklung unterstützten und Lernziele diskutiert und erreicht wurden. Wichtig: gut ausgebildete, zielorientierte Mentoren, einheitliche pädagogische Umgebung, sichere Atmosphäre.</w:t>
      </w:r>
    </w:p>
    <w:p>
      <w:r>
        <w:rPr>
          <w:b/>
          <w:sz w:val="19"/>
        </w:rPr>
        <w:t xml:space="preserve">Übertragbarkeit: </w:t>
      </w:r>
      <w:r>
        <w:rPr>
          <w:sz w:val="19"/>
        </w:rPr>
        <w:t>Finnland, Universitätskrankenhaus, Mentorierungsansätze auf deutsches Ausbildungssystem übertragbar</w:t>
      </w:r>
    </w:p>
    <w:p>
      <w:r>
        <w:rPr>
          <w:color w:val="5A7D3A"/>
          <w:sz w:val="18"/>
        </w:rPr>
        <w:t>https://pubmed.ncbi.nlm.nih.gov/42614009/</w:t>
      </w:r>
    </w:p>
    <w:p>
      <w:pPr>
        <w:pStyle w:val="Heading1"/>
      </w:pPr>
      <w:r>
        <w:t>Aufgenommen am 24.08.2026</w:t>
      </w:r>
    </w:p>
    <w:p>
      <w:pPr>
        <w:pStyle w:val="Heading2"/>
      </w:pPr>
      <w:r>
        <w:t>Medikamentensicherheits-Checkliste bei Pflegeheim-Übergängen: 51 % niedrigeres Wiederaufnahmrisiko</w:t>
      </w:r>
    </w:p>
    <w:p>
      <w:r>
        <w:rPr>
          <w:i/>
          <w:color w:val="666666"/>
          <w:sz w:val="18"/>
        </w:rPr>
        <w:t>Chen JS et al.  ·  J Eval Clin Pract  ·  Aug. 2026  ·  PMID 42633689</w:t>
      </w:r>
    </w:p>
    <w:p>
      <w:r>
        <w:t>Quasiexperimentelle Pilotstudie (n=200 Heimbewohner in Taiwan) zum Effekt einer risiko-basierten Medikamentensicherheits-Checkliste bei Entlassung auf ungeplante Krankenhauswiederaufnahmen in 90 Tagen.</w:t>
      </w:r>
    </w:p>
    <w:p>
      <w:r>
        <w:rPr>
          <w:b/>
        </w:rPr>
        <w:t xml:space="preserve">Ergebnis: </w:t>
      </w:r>
      <w:r>
        <w:t>Interventionsgruppe mit Checkliste: 51,1 % geringeres Wiederaufnahmerisiko als Kontrollgruppe (HR = 0,489; 95%-KI: 0,324–0,731). Präventive Medikationenkommunikation und Hochrisiko-Identifikation zeigt Machbarkeit. Als Pilotstudie mit Clusterallokation bedarf es Bestätigung in größeren Randomisierungsstudien.</w:t>
      </w:r>
    </w:p>
    <w:p>
      <w:r>
        <w:rPr>
          <w:b/>
          <w:sz w:val="19"/>
        </w:rPr>
        <w:t xml:space="preserve">Übertragbarkeit: </w:t>
      </w:r>
      <w:r>
        <w:rPr>
          <w:sz w:val="19"/>
        </w:rPr>
        <w:t>Taiwan, Qualitätsintervention; Transitionsmanagement und Medikamentensicherheit auf verschiedene Kontexte übertragbar.</w:t>
      </w:r>
    </w:p>
    <w:p>
      <w:r>
        <w:rPr>
          <w:color w:val="5A7D3A"/>
          <w:sz w:val="18"/>
        </w:rPr>
        <w:t>https://pubmed.ncbi.nlm.nih.gov/42633689/</w:t>
      </w:r>
    </w:p>
    <w:p>
      <w:pPr>
        <w:pStyle w:val="Heading2"/>
      </w:pPr>
      <w:r>
        <w:t>Intrinsische Kapazität und Pflegeergebnisse im häuslichen Kontext: Fünf Verlaufstrends mit unterschiedlichen Risiken</w:t>
      </w:r>
    </w:p>
    <w:p>
      <w:r>
        <w:rPr>
          <w:i/>
          <w:color w:val="666666"/>
          <w:sz w:val="18"/>
        </w:rPr>
        <w:t>Egbujie BA et al.  ·  Age Ageing  ·  03.08.2026  ·  PMID 42632919</w:t>
      </w:r>
    </w:p>
    <w:p>
      <w:r>
        <w:t>Kanadische Kohortenstudie (n=302.467 Heimenpflegepatienten) mit Analyse von Intrinsic-Capacity-Trajektorien über die Zeit mittels Group-Based Trajectory Modelling und Assoziationen zu Mortalität und Pflegeheimaufnahme.</w:t>
      </w:r>
    </w:p>
    <w:p>
      <w:r>
        <w:rPr>
          <w:b/>
        </w:rPr>
        <w:t xml:space="preserve">Ergebnis: </w:t>
      </w:r>
      <w:r>
        <w:t>Fünf unterschiedliche Kapazitätsverlaufstrends identifiziert. Moderate Ausgangskapazität mit stabiler oder verbesserter Trajektorie führte zu niedrigerer Pflegeheimaufnahmerate (38,1 %) als moderate Kapazität mit Verschlechterung (48,4 %). Kognitive Beeinträchtigung stark mit negativen Trajektorien assoziiert. Einzelne Assessments erfassen outcome-Heterogenität unzureichend.</w:t>
      </w:r>
    </w:p>
    <w:p>
      <w:r>
        <w:rPr>
          <w:b/>
          <w:sz w:val="19"/>
        </w:rPr>
        <w:t xml:space="preserve">Übertragbarkeit: </w:t>
      </w:r>
      <w:r>
        <w:rPr>
          <w:sz w:val="19"/>
        </w:rPr>
        <w:t>Kanada, vergleichbares Langzeitpflegesystem; Routinedaten (interRAI) für Versorgungsplanung genutzt.</w:t>
      </w:r>
    </w:p>
    <w:p>
      <w:r>
        <w:rPr>
          <w:color w:val="5A7D3A"/>
          <w:sz w:val="18"/>
        </w:rPr>
        <w:t>https://pubmed.ncbi.nlm.nih.gov/42632919/</w:t>
      </w:r>
    </w:p>
    <w:p>
      <w:pPr>
        <w:pStyle w:val="Heading2"/>
      </w:pPr>
      <w:r>
        <w:t>Hochdosis-Grippeimpfstoff in Pflegeheimen: 30,8 % weniger Krankenhauseinweisungen für Heimbewohner ab 65</w:t>
      </w:r>
    </w:p>
    <w:p>
      <w:r>
        <w:rPr>
          <w:i/>
          <w:color w:val="666666"/>
          <w:sz w:val="18"/>
        </w:rPr>
        <w:t>Bricout H et al.  ·  Age Ageing  ·  03.08.2026  ·  PMID 42632918</w:t>
      </w:r>
    </w:p>
    <w:p>
      <w:r>
        <w:t>Französische Kohortenstudie zur Effektivität von Hochdosis- gegenüber Standarddosis-Influenza-Impfstoff in 76.858 gematchten Heimbewohnern (Durchschnittsalter 88 Jahre) in der Saison 2022–2023.</w:t>
      </w:r>
    </w:p>
    <w:p>
      <w:r>
        <w:rPr>
          <w:b/>
        </w:rPr>
        <w:t xml:space="preserve">Ergebnis: </w:t>
      </w:r>
      <w:r>
        <w:t>Hochdosis-Impfstoff führte zu 30,8 % weniger influenzabedingten Krankenhauseinweisungen (95%-KI: 11,8–45,7; p = 0,0029; 302 vs. 438 pro 100.000 Personenjahre). Kein signifikanter Effekt auf Pneumonie oder Kombinationsergebnisse. Relative Vakzineeffektivität für prioritäre Risikogruppe bestätigt.</w:t>
      </w:r>
    </w:p>
    <w:p>
      <w:r>
        <w:rPr>
          <w:b/>
          <w:sz w:val="19"/>
        </w:rPr>
        <w:t xml:space="preserve">Übertragbarkeit: </w:t>
      </w:r>
      <w:r>
        <w:rPr>
          <w:sz w:val="19"/>
        </w:rPr>
        <w:t>Frankreich, vergleichbare Altersstruktur und Dokumentation; methodisch rigoros mit Propensity-Matching.</w:t>
      </w:r>
    </w:p>
    <w:p>
      <w:r>
        <w:rPr>
          <w:color w:val="5A7D3A"/>
          <w:sz w:val="18"/>
        </w:rPr>
        <w:t>https://pubmed.ncbi.nlm.nih.gov/42632918/</w:t>
      </w:r>
    </w:p>
    <w:p>
      <w:pPr>
        <w:pStyle w:val="Heading2"/>
      </w:pPr>
      <w:r>
        <w:t>Magnet®-Zertifizierung in deutschen Kliniken: Kostendaten und Implementierungslücken für Pflegeverbesserung</w:t>
      </w:r>
    </w:p>
    <w:p>
      <w:r>
        <w:rPr>
          <w:i/>
          <w:color w:val="666666"/>
          <w:sz w:val="18"/>
        </w:rPr>
        <w:t>Gurisch C et al.  ·  BMC Health Serv Res  ·  12.08.2026  ·  PMID 42608687</w:t>
      </w:r>
    </w:p>
    <w:p>
      <w:r>
        <w:t>Scoping Review und Interviews (n=6) mit Pflegeleitung in fünf deutschen Unikliniken zur Identifikation von Kosten und Einsparungen bei Magnet®-Zertifizierung in deutschem Kontext.</w:t>
      </w:r>
    </w:p>
    <w:p>
      <w:r>
        <w:rPr>
          <w:b/>
        </w:rPr>
        <w:t xml:space="preserve">Ergebnis: </w:t>
      </w:r>
      <w:r>
        <w:t>Kosten: ANCC-Gebühren, Benchmarking, Personalentwicklung, Datenmanagementsysteme. Deutsche Besonderheit: Akademisierung von Pflegekräften und Pflegeindikatoren als Kostenblöcke. Einsparungspotenziale bei pflegeindikatoren, Personalbinduung, Krankenhausleistung identifiziert, aber kritische Datenlücken für Kosteneffizienz-Analyse in Deutschland.</w:t>
      </w:r>
    </w:p>
    <w:p>
      <w:r>
        <w:rPr>
          <w:b/>
          <w:sz w:val="19"/>
        </w:rPr>
        <w:t xml:space="preserve">Übertragbarkeit: </w:t>
      </w:r>
      <w:r>
        <w:rPr>
          <w:sz w:val="19"/>
        </w:rPr>
        <w:t>Deutschland, Analyse für deutsches Gesundheitssystem; zeigt erhebliche Datenlücken auf.</w:t>
      </w:r>
    </w:p>
    <w:p>
      <w:r>
        <w:rPr>
          <w:color w:val="5A7D3A"/>
          <w:sz w:val="18"/>
        </w:rPr>
        <w:t>https://pubmed.ncbi.nlm.nih.gov/42608687/</w:t>
      </w:r>
    </w:p>
    <w:p>
      <w:pPr>
        <w:pStyle w:val="Heading1"/>
      </w:pPr>
      <w:r>
        <w:t>Aufgenommen am 23.08.2026</w:t>
      </w:r>
    </w:p>
    <w:p>
      <w:pPr>
        <w:pStyle w:val="Heading2"/>
      </w:pPr>
      <w:r>
        <w:t>Organisationale Führung und psychische Belastung Pflegender: was Arbeitsbelastung verstärkt und was sie abmildert</w:t>
      </w:r>
    </w:p>
    <w:p>
      <w:r>
        <w:rPr>
          <w:i/>
          <w:color w:val="666666"/>
          <w:sz w:val="18"/>
        </w:rPr>
        <w:t>Annunziata KN et al.  ·  J Nurs Manag  ·  2026  ·  PMID 42630083</w:t>
      </w:r>
    </w:p>
    <w:p>
      <w:r>
        <w:t>Interviews mit 15 europäischen Pflegekräften in der Suchtbehandlung untersuchten, wie Arbeitsbelastung durch Sekundärtraumatisierung entsteht und welche Führungsinterventionen sie abmildern.</w:t>
      </w:r>
    </w:p>
    <w:p>
      <w:r>
        <w:rPr>
          <w:b/>
        </w:rPr>
        <w:t xml:space="preserve">Ergebnis: </w:t>
      </w:r>
      <w:r>
        <w:t>Organisationale Führung fungierte als Risiko- oder Schutzfaktor: unterstützende, strukturierte Maßnahmen wie Awareness, Schulung und emotionale Unterstützung reduzierten die Auswirkungen. Schlecht ausgestaltete Führung verschärfte die Belastung.</w:t>
      </w:r>
    </w:p>
    <w:p>
      <w:r>
        <w:rPr>
          <w:b/>
          <w:sz w:val="19"/>
        </w:rPr>
        <w:t xml:space="preserve">Übertragbarkeit: </w:t>
      </w:r>
      <w:r>
        <w:rPr>
          <w:sz w:val="19"/>
        </w:rPr>
        <w:t>Europa, Qualitativ, Schnittstellenposition zwischen Burnout und Organisationsinterventionen</w:t>
      </w:r>
    </w:p>
    <w:p>
      <w:r>
        <w:rPr>
          <w:color w:val="5A7D3A"/>
          <w:sz w:val="18"/>
        </w:rPr>
        <w:t>https://pubmed.ncbi.nlm.nih.gov/42630083/</w:t>
      </w:r>
    </w:p>
    <w:p>
      <w:pPr>
        <w:pStyle w:val="Heading2"/>
      </w:pPr>
      <w:r>
        <w:t>Zuwanderung von Pflegekräften nach dem Brexit: Auswirkungen auf Fachkräftemangel und Krankenhausvakanzen im britischen Gesundheitsdienst</w:t>
      </w:r>
    </w:p>
    <w:p>
      <w:r>
        <w:rPr>
          <w:i/>
          <w:color w:val="666666"/>
          <w:sz w:val="18"/>
        </w:rPr>
        <w:t>Ramesh T et al.  ·  JAMA Health Forum  ·  07.08.2026  ·  PMID 42627655</w:t>
      </w:r>
    </w:p>
    <w:p>
      <w:r>
        <w:t>Querschnittstudie mit Unterbrechungsreihenanalyse: Brexit-Referendum 2016 und Einwanderung von Ärztinnen und Pflegekräften in UK (OECD-Daten 2008–2019) sowie monatliche NHS-Vakanzen April 2015–Dezember 2019.</w:t>
      </w:r>
    </w:p>
    <w:p>
      <w:r>
        <w:rPr>
          <w:b/>
        </w:rPr>
        <w:t xml:space="preserve">Ergebnis: </w:t>
      </w:r>
      <w:r>
        <w:t>Brexit-bedingt: 825 EU-Ärzte und 2.771 EU-Pflegekräfte weniger im ersten Jahr. Nicht-EU-Zuwanderung stieg später (+1.437 Pflegekräfte/Jahr 2017–2019), kompensierte aber nicht vollständig. Ärztliche Vakanzen stiegen um 383 Stellen (95%-KI 88–679), Pflegevakanzen blieben erhöht.</w:t>
      </w:r>
    </w:p>
    <w:p>
      <w:r>
        <w:rPr>
          <w:b/>
          <w:sz w:val="19"/>
        </w:rPr>
        <w:t xml:space="preserve">Übertragbarkeit: </w:t>
      </w:r>
      <w:r>
        <w:rPr>
          <w:sz w:val="19"/>
        </w:rPr>
        <w:t>UK-Migrationspolitik übertragbar auf Versorgungssystemplanung, aber nicht auf Lizensierungsstrukturen</w:t>
      </w:r>
    </w:p>
    <w:p>
      <w:r>
        <w:rPr>
          <w:color w:val="5A7D3A"/>
          <w:sz w:val="18"/>
        </w:rPr>
        <w:t>https://pubmed.ncbi.nlm.nih.gov/42627655/</w:t>
      </w:r>
    </w:p>
    <w:p>
      <w:pPr>
        <w:pStyle w:val="Heading2"/>
      </w:pPr>
      <w:r>
        <w:t>Belastung informeller Pflegender von Krebspatienten: Was Emotionen und Aufopferung damit zu tun haben</w:t>
      </w:r>
    </w:p>
    <w:p>
      <w:r>
        <w:rPr>
          <w:i/>
          <w:color w:val="666666"/>
          <w:sz w:val="18"/>
        </w:rPr>
        <w:t>Ham L et al.  ·  Support Care Cancer  ·  21.08.2026  ·  PMID 42627385</w:t>
      </w:r>
    </w:p>
    <w:p>
      <w:r>
        <w:t>Querschnittserhebung mit 3.171 Angehörigen von Krebspatienten in den Niederlanden (Online-Survey) mit logistischen Regressionsanalysen zu erlebter Belastung und deren Zusammenhängen.</w:t>
      </w:r>
    </w:p>
    <w:p>
      <w:r>
        <w:rPr>
          <w:b/>
        </w:rPr>
        <w:t xml:space="preserve">Ergebnis: </w:t>
      </w:r>
      <w:r>
        <w:t>93% gaben an, dass es sich gut anfühlt, für den Angehörigen da zu sein; 83% hatten Angst vor Trauerverlust. Jede fünfte Person (20%) berichtete erhebliche Belastung durch Pflege. Höhere Belastung trat auf, wenn Angehörige das Leben vollständig dem Patienten anpassten und sich stärker gaben als empfunden.</w:t>
      </w:r>
    </w:p>
    <w:p>
      <w:r>
        <w:rPr>
          <w:b/>
          <w:sz w:val="19"/>
        </w:rPr>
        <w:t xml:space="preserve">Übertragbarkeit: </w:t>
      </w:r>
      <w:r>
        <w:rPr>
          <w:sz w:val="19"/>
        </w:rPr>
        <w:t>Niederlande, vergleichbare Sozialversicherung und Versorgungskultur</w:t>
      </w:r>
    </w:p>
    <w:p>
      <w:r>
        <w:rPr>
          <w:color w:val="5A7D3A"/>
          <w:sz w:val="18"/>
        </w:rPr>
        <w:t>https://pubmed.ncbi.nlm.nih.gov/42627385/</w:t>
      </w:r>
    </w:p>
    <w:p>
      <w:pPr>
        <w:pStyle w:val="Heading2"/>
      </w:pPr>
      <w:r>
        <w:t>Nadelstichverletzungen unter Pflegekräften und medizinischem Personal: Fünf-Jahres-Analyse aus kroatischen Universitätskliniken</w:t>
      </w:r>
    </w:p>
    <w:p>
      <w:r>
        <w:rPr>
          <w:i/>
          <w:color w:val="666666"/>
          <w:sz w:val="18"/>
        </w:rPr>
        <w:t>Čučević Đ et al.  ·  East Mediterr Health J  ·  02.08.2026  ·  PMID 42626802</w:t>
      </w:r>
    </w:p>
    <w:p>
      <w:r>
        <w:t>Retrosprektive Analyse gemeldeter Nadelstich- und Schnittschutzunfälle 2018–2022 an zwei Universitätskliniken in Kroatien; Vergleich Pre-Pandemie (2018–2019) vs. Pandemie (2020–2022).</w:t>
      </w:r>
    </w:p>
    <w:p>
      <w:r>
        <w:rPr>
          <w:b/>
        </w:rPr>
        <w:t xml:space="preserve">Ergebnis: </w:t>
      </w:r>
      <w:r>
        <w:t>3.554 Nadelstichverletzungen über fünf Jahre; Nadeln verursachten 68,6% (2.373 Fälle). Pflegekräfte und medizinisch-technische Angestellte waren mit 51,4% am stärksten betroffen (95%-KI 49,7–53,0). Verletzungen nahmen während Pandemie zu: 1.930 vs. 1.624 vor Pandemie.</w:t>
      </w:r>
    </w:p>
    <w:p>
      <w:r>
        <w:rPr>
          <w:b/>
          <w:sz w:val="19"/>
        </w:rPr>
        <w:t xml:space="preserve">Übertragbarkeit: </w:t>
      </w:r>
      <w:r>
        <w:rPr>
          <w:sz w:val="19"/>
        </w:rPr>
        <w:t>Europa, ähnliche Infektionsschutzstandards, aber höhere Belastung durch Pandemie</w:t>
      </w:r>
    </w:p>
    <w:p>
      <w:r>
        <w:rPr>
          <w:color w:val="5A7D3A"/>
          <w:sz w:val="18"/>
        </w:rPr>
        <w:t>https://pubmed.ncbi.nlm.nih.gov/42626802/</w:t>
      </w:r>
    </w:p>
    <w:p>
      <w:pPr>
        <w:pStyle w:val="Heading1"/>
      </w:pPr>
      <w:r>
        <w:t>Aufgenommen am 21.08.2026</w:t>
      </w:r>
    </w:p>
    <w:p>
      <w:pPr>
        <w:pStyle w:val="Heading2"/>
      </w:pPr>
      <w:r>
        <w:t>Professionelle Gesundheitskompetenz von Hebammen: Ergebnisse einer bayerischen Befragung</w:t>
      </w:r>
    </w:p>
    <w:p>
      <w:r>
        <w:rPr>
          <w:i/>
          <w:color w:val="666666"/>
          <w:sz w:val="18"/>
        </w:rPr>
        <w:t>Sponsel S et al.  ·  Gesundheitswesen  ·  19.08.2026  ·  PMID 42617637</w:t>
      </w:r>
    </w:p>
    <w:p>
      <w:r>
        <w:t>Querschnitts-Online-Befragung von 668 bayerischen Hebammen (November 2023–Mai 2024) mittels PROF-HL-Q (34 Items, vier Kompetenzbereiche) zur professionellen Gesundheitskompetenz.</w:t>
      </w:r>
    </w:p>
    <w:p>
      <w:r>
        <w:rPr>
          <w:b/>
        </w:rPr>
        <w:t xml:space="preserve">Ergebnis: </w:t>
      </w:r>
      <w:r>
        <w:t>Mittlere Punktwerte pro Kompetenzbereich lagen zwischen 48,6 und 78,0 von 100 Punkten. Patientenzentrierte Kommunikation am höchsten bewertet, professionelle digitale Gesundheitskompetenz am niedrigsten. Kompetenzbereiche mit Förderungsbedarf identifiziert. Curriculare Anpassungen und gezielte Fort-/Weiterbildungen in Digitalisierung, Evidenzbasierung und Kommunikation erforderlich.</w:t>
      </w:r>
    </w:p>
    <w:p>
      <w:r>
        <w:rPr>
          <w:b/>
          <w:sz w:val="19"/>
        </w:rPr>
        <w:t xml:space="preserve">Übertragbarkeit: </w:t>
      </w:r>
      <w:r>
        <w:rPr>
          <w:sz w:val="19"/>
        </w:rPr>
        <w:t>Deutschland (Bayern), vollständig in deutschem Kontext und Berufssystem</w:t>
      </w:r>
    </w:p>
    <w:p>
      <w:r>
        <w:rPr>
          <w:color w:val="5A7D3A"/>
          <w:sz w:val="18"/>
        </w:rPr>
        <w:t>https://pubmed.ncbi.nlm.nih.gov/42617637/</w:t>
      </w:r>
    </w:p>
    <w:p>
      <w:pPr>
        <w:pStyle w:val="Heading1"/>
      </w:pPr>
      <w:r>
        <w:t>Aufgenommen am 20.08.2026</w:t>
      </w:r>
    </w:p>
    <w:p>
      <w:pPr>
        <w:pStyle w:val="Heading2"/>
      </w:pPr>
      <w:r>
        <w:t>Datenkompetenz in der Langzeitpflege: Organisationale Reife und Barrieren für datengesteuerte Versorgung</w:t>
      </w:r>
    </w:p>
    <w:p>
      <w:r>
        <w:rPr>
          <w:i/>
          <w:color w:val="666666"/>
          <w:sz w:val="18"/>
        </w:rPr>
        <w:t>Bouchmal S et al.  ·  J Med Internet Res  ·  19.08.2026  ·  PMID 42617155</w:t>
      </w:r>
    </w:p>
    <w:p>
      <w:r>
        <w:t>Mixed-Methods-Studie zur Bewertung der Datenkompetenz in drei niederländischen Langzeitpflegeorganisationen und zur Identifikation von Faktoren, die die Nutzung von Daten für Versorgungsverbesserungen behindern.</w:t>
      </w:r>
    </w:p>
    <w:p>
      <w:r>
        <w:rPr>
          <w:b/>
        </w:rPr>
        <w:t xml:space="preserve">Ergebnis: </w:t>
      </w:r>
      <w:r>
        <w:t>Langzeitpflegeorganisationen zeigen geringe Datenkompetenz, besonders in den Bereichen Strategie, Governance und Datenqualität. Schlüsselhindernisse sind fehlende Vision für datengesteuerte Versorgung, mangelnde Datenkultur, begrenzte interdisziplinäre Zusammenarbeit und unzureichende technische Infrastruktur. Voraussetzung für Fortschritt sind integrierte Strategien, die technische, kulturelle und interprofessionelle Bedingungen verbinden.</w:t>
      </w:r>
    </w:p>
    <w:p>
      <w:r>
        <w:rPr>
          <w:b/>
          <w:sz w:val="19"/>
        </w:rPr>
        <w:t xml:space="preserve">Übertragbarkeit: </w:t>
      </w:r>
      <w:r>
        <w:rPr>
          <w:sz w:val="19"/>
        </w:rPr>
        <w:t>Niederlande, vergleichbare Versicherungsstruktur, ähnliche Governance-Herausforderungen</w:t>
      </w:r>
    </w:p>
    <w:p>
      <w:r>
        <w:rPr>
          <w:color w:val="5A7D3A"/>
          <w:sz w:val="18"/>
        </w:rPr>
        <w:t>https://pubmed.ncbi.nlm.nih.gov/42617155/</w:t>
      </w:r>
    </w:p>
    <w:p>
      <w:pPr>
        <w:pStyle w:val="Heading2"/>
      </w:pPr>
      <w:r>
        <w:t>Telemedizin-Intervention in Pflegeheimen: Hospitalisierungsraten und Implementierungsbarrieren</w:t>
      </w:r>
    </w:p>
    <w:p>
      <w:r>
        <w:rPr>
          <w:i/>
          <w:color w:val="666666"/>
          <w:sz w:val="18"/>
        </w:rPr>
        <w:t>Grosser J et al.  ·  JMIR Aging  ·  19.08.2026  ·  PMID 42616612</w:t>
      </w:r>
    </w:p>
    <w:p>
      <w:r>
        <w:t>Cluster-randomisierte Stepped-Wedge-Studie über 24 Pflegeheime in Nordrhein-Westfalen zu einer intersektorialen Telemedizin-Intervention mit Frühwarnsystem und mobilen Nichtarzt-Assistenten zur Vermeidung von Krankenhauseinweisungen.</w:t>
      </w:r>
    </w:p>
    <w:p>
      <w:r>
        <w:rPr>
          <w:b/>
        </w:rPr>
        <w:t xml:space="preserve">Ergebnis: </w:t>
      </w:r>
      <w:r>
        <w:t>Von 1260 analysierten Regressionsmodellen zeigten etwa zwei Drittel einen negativen (protektiven) Effekt, aber kein Modell erreichte statistische Signifikanz (p&lt;0,05). Die Hypothese einer signifikanten Reduktion von Hospitalisierungen wurde nicht unterstützt. Externe Faktoren wie Hochwasser und COVID-19-Pandemie beeinträchtigten die Implementierung und Effektivitätsmessung erheblich.</w:t>
      </w:r>
    </w:p>
    <w:p>
      <w:r>
        <w:rPr>
          <w:b/>
          <w:sz w:val="19"/>
        </w:rPr>
        <w:t xml:space="preserve">Übertragbarkeit: </w:t>
      </w:r>
      <w:r>
        <w:rPr>
          <w:sz w:val="19"/>
        </w:rPr>
        <w:t>Deutschlandweit, lokale Daten und Bedingungen, aber externe Störfaktoren müssen kontrolliert werden</w:t>
      </w:r>
    </w:p>
    <w:p>
      <w:r>
        <w:rPr>
          <w:color w:val="5A7D3A"/>
          <w:sz w:val="18"/>
        </w:rPr>
        <w:t>https://pubmed.ncbi.nlm.nih.gov/42616612/</w:t>
      </w:r>
    </w:p>
    <w:p>
      <w:pPr>
        <w:pStyle w:val="Heading2"/>
      </w:pPr>
      <w:r>
        <w:t>Schichtplanung in der Pflege: Was Pflegekräfte wirklich wollen – Diskrete-Choice-Experimente</w:t>
      </w:r>
    </w:p>
    <w:p>
      <w:r>
        <w:rPr>
          <w:i/>
          <w:color w:val="666666"/>
          <w:sz w:val="18"/>
        </w:rPr>
        <w:t>Dall'Ora C et al.  ·  BMJ Open  ·  18.08.2026  ·  PMID 42613123</w:t>
      </w:r>
    </w:p>
    <w:p>
      <w:r>
        <w:t>Discrete-Choice-Experiment mit 1449 registrierten Pflegekräften aus dem Vereinigten Königreich zur Quantifizierung von Präferenzen für Schichtmerkmale und deren Wechselwirkung mit Bezahlung.</w:t>
      </w:r>
    </w:p>
    <w:p>
      <w:r>
        <w:rPr>
          <w:b/>
        </w:rPr>
        <w:t xml:space="preserve">Ergebnis: </w:t>
      </w:r>
      <w:r>
        <w:t>Alle sechs Schichtattribute waren statistisch signifikante Einflussfaktoren. Stärkste Aversionen: Nur-Nachtschichten (β=−1,113, erfordert 29% Mehrausgleich) und kein freies Wochenende (β=−0,790, erfordert 21% Mehrausgleich). Vorhersehbare Rosters (β=−0,220), Schichtwahlflexibilität (β=−0,189) und Lohnerhöhungen (β=−0,525) reduzierten Unzufriedenheit. 9–10-Stunden-Schichten wurden 8-Stunden-Schichten vorgezogen.</w:t>
      </w:r>
    </w:p>
    <w:p>
      <w:r>
        <w:rPr>
          <w:b/>
          <w:sz w:val="19"/>
        </w:rPr>
        <w:t xml:space="preserve">Übertragbarkeit: </w:t>
      </w:r>
      <w:r>
        <w:rPr>
          <w:sz w:val="19"/>
        </w:rPr>
        <w:t>Großbritannien, Arbeitsmärkte ähnlich, aber deutsche Fachkraftknappheit und Schichtsysteme unterscheiden sich</w:t>
      </w:r>
    </w:p>
    <w:p>
      <w:r>
        <w:rPr>
          <w:color w:val="5A7D3A"/>
          <w:sz w:val="18"/>
        </w:rPr>
        <w:t>https://pubmed.ncbi.nlm.nih.gov/42613123/</w:t>
      </w:r>
    </w:p>
    <w:p>
      <w:pPr>
        <w:pStyle w:val="Heading1"/>
      </w:pPr>
      <w:r>
        <w:t>Aufgenommen am 19.08.2026</w:t>
      </w:r>
    </w:p>
    <w:p>
      <w:pPr>
        <w:pStyle w:val="Heading2"/>
      </w:pPr>
      <w:r>
        <w:t>Delirium bei Demenz im Pflegeheim: Prävalenz und Prognose – ein deutsches Kohorten-Protokoll</w:t>
      </w:r>
    </w:p>
    <w:p>
      <w:r>
        <w:rPr>
          <w:i/>
          <w:color w:val="666666"/>
          <w:sz w:val="18"/>
        </w:rPr>
        <w:t>Molitor V et al.  ·  BMC Geriatr  ·  15.08.2026  ·  PMID 42608678</w:t>
      </w:r>
    </w:p>
    <w:p>
      <w:r>
        <w:t>Protokoll einer prospektiven Multizenterstudie in 20 deutschen Heimen (August 2025 bis Juli 2028) mit etwa 300 Heimbewohnern mit Demenz; wöchentliches Screening auf Delirium überlagert auf Demenz über 6 Monate.</w:t>
      </w:r>
    </w:p>
    <w:p>
      <w:r>
        <w:rPr>
          <w:b/>
        </w:rPr>
        <w:t xml:space="preserve">Ergebnis: </w:t>
      </w:r>
      <w:r>
        <w:t>Noch laufend; Ziel ist die Ermittlung von Prävalenz, Inzidenz, Risikofaktoren, klinischem Verlauf und Pflegeprozessen bei superimposed Delirium als Grundlage für evidenzbasierte Prävention.</w:t>
      </w:r>
    </w:p>
    <w:p>
      <w:r>
        <w:rPr>
          <w:b/>
          <w:sz w:val="19"/>
        </w:rPr>
        <w:t xml:space="preserve">Übertragbarkeit: </w:t>
      </w:r>
      <w:r>
        <w:rPr>
          <w:sz w:val="19"/>
        </w:rPr>
        <w:t>Deutschland, speziell deutsches Heimsetting mit hiesigen Assess-Tools.</w:t>
      </w:r>
    </w:p>
    <w:p>
      <w:r>
        <w:rPr>
          <w:color w:val="5A7D3A"/>
          <w:sz w:val="18"/>
        </w:rPr>
        <w:t>https://pubmed.ncbi.nlm.nih.gov/42608678/</w:t>
      </w:r>
    </w:p>
    <w:p>
      <w:pPr>
        <w:pStyle w:val="Heading2"/>
      </w:pPr>
      <w:r>
        <w:t>Videovisiten im Pflegealltag: Pflegefachpersonen zwischen Effizienzanforderung und relationalem Anspruch</w:t>
      </w:r>
    </w:p>
    <w:p>
      <w:r>
        <w:rPr>
          <w:i/>
          <w:color w:val="666666"/>
          <w:sz w:val="18"/>
        </w:rPr>
        <w:t>Groth S et al.  ·  PLoS One  ·  11.08.2026  ·  PMID 42579655</w:t>
      </w:r>
    </w:p>
    <w:p>
      <w:r>
        <w:t>Qualitative Studie mit zwei Fokusgruppen (12 Pflegekräfte) aus zwei dänischen Kardiologie-Ambulanzen zur Erfahrung mit Videovisiten und deren Auswirkung auf die Pflegebeziehung.</w:t>
      </w:r>
    </w:p>
    <w:p>
      <w:r>
        <w:rPr>
          <w:b/>
        </w:rPr>
        <w:t xml:space="preserve">Ergebnis: </w:t>
      </w:r>
      <w:r>
        <w:t>Drei Hauptthemen: Videovisiten erfordern gutes Timing; Pflegefachpersonen sahen Spannungen zwischen Effizienzzielen, organisationalen Bedingungen und Wert relationaler Praxis. Technologie erleichterte Flexibilität, fachliche Qualität hinge aber von Organisationsstütze, Training und klarer Implementierungsstrategie ab – Führung und Integration in Workflows waren kritisch für nachhaltigen Einsatz.</w:t>
      </w:r>
    </w:p>
    <w:p>
      <w:r>
        <w:rPr>
          <w:b/>
          <w:sz w:val="19"/>
        </w:rPr>
        <w:t xml:space="preserve">Übertragbarkeit: </w:t>
      </w:r>
      <w:r>
        <w:rPr>
          <w:sz w:val="19"/>
        </w:rPr>
        <w:t>Dänemark, vergleichbar strukturiertes Gesundheitssystem, spricht Organisationsfragen an.</w:t>
      </w:r>
    </w:p>
    <w:p>
      <w:r>
        <w:rPr>
          <w:color w:val="5A7D3A"/>
          <w:sz w:val="18"/>
        </w:rPr>
        <w:t>https://pubmed.ncbi.nlm.nih.gov/42579655/</w:t>
      </w:r>
    </w:p>
    <w:p>
      <w:pPr>
        <w:pStyle w:val="Heading1"/>
      </w:pPr>
      <w:r>
        <w:t>Aufgenommen am 18.08.2026</w:t>
      </w:r>
    </w:p>
    <w:p>
      <w:pPr>
        <w:pStyle w:val="Heading2"/>
      </w:pPr>
      <w:r>
        <w:t>Krankenhausentlassung ins Pflegeheim: Outcomes und Komplikationen bei 198 älteren Patienten</w:t>
      </w:r>
    </w:p>
    <w:p>
      <w:r>
        <w:rPr>
          <w:i/>
          <w:color w:val="666666"/>
          <w:sz w:val="18"/>
        </w:rPr>
        <w:t>Nash TS et al.  ·  Aust Health Rev  ·  03.09.2026  ·  PMID 42608335</w:t>
      </w:r>
    </w:p>
    <w:p>
      <w:r>
        <w:t>Retrospektive Kohortenstudie mit 293 als langzeitig hospitalisiert markierten und 198 schließlich ins Pflegeheim entlassenen älteren Patienten (Median 83 Jahre); Verfolgung von Übergangsverzögerungen und 90-Tage-Outcomes.</w:t>
      </w:r>
    </w:p>
    <w:p>
      <w:r>
        <w:rPr>
          <w:b/>
        </w:rPr>
        <w:t xml:space="preserve">Ergebnis: </w:t>
      </w:r>
      <w:r>
        <w:t>Mediane Verweildauer 28 Tage (Aufnahme bis Bereitschaft), 24 Tage (Bereitschaft bis Heimaufnahme); 36 % erfüllten das zusammengesetzte Outcome (Notaufnahmen, ungeplante Wiederaufnahmen oder Scheitern der Platzierung innerhalb 90 Tagen); 32 % besuchten Notaufnahme, 22 % wurden wiederaufgenommen, 5 % Platzierungsversagen.</w:t>
      </w:r>
    </w:p>
    <w:p>
      <w:r>
        <w:rPr>
          <w:b/>
          <w:sz w:val="19"/>
        </w:rPr>
        <w:t xml:space="preserve">Übertragbarkeit: </w:t>
      </w:r>
      <w:r>
        <w:rPr>
          <w:sz w:val="19"/>
        </w:rPr>
        <w:t>Australien, aber Sicherungs- und Übergangsproblematik ähnlich deutschem System</w:t>
      </w:r>
    </w:p>
    <w:p>
      <w:r>
        <w:rPr>
          <w:color w:val="5A7D3A"/>
          <w:sz w:val="18"/>
        </w:rPr>
        <w:t>https://pubmed.ncbi.nlm.nih.gov/42608335/</w:t>
      </w:r>
    </w:p>
    <w:p>
      <w:pPr>
        <w:pStyle w:val="Heading2"/>
      </w:pPr>
      <w:r>
        <w:t>Lebensqualität in Pflegeheimen: Einfluss von Einsamkeit, Aktivitäten und Außenräumen</w:t>
      </w:r>
    </w:p>
    <w:p>
      <w:r>
        <w:rPr>
          <w:i/>
          <w:color w:val="666666"/>
          <w:sz w:val="18"/>
        </w:rPr>
        <w:t>Alves B et al.  ·  Psychogeriatrics  ·  Sept. 2026  ·  PMID 42581428</w:t>
      </w:r>
    </w:p>
    <w:p>
      <w:r>
        <w:t>Querschnittstudie mit 213 Bewohnern in 22 portugiesischen Pflegeheimen zur Identifikation individueller und institutioneller Faktoren für Lebensqualität.</w:t>
      </w:r>
    </w:p>
    <w:p>
      <w:r>
        <w:rPr>
          <w:b/>
        </w:rPr>
        <w:t xml:space="preserve">Ergebnis: </w:t>
      </w:r>
      <w:r>
        <w:t>Durchschnittlicher WHOQOL-OLD-Score 63,3/100; höhere Einsamkeit reduzierte Lebensqualität um 0,79 Punkte (p&lt;0,001); Beteiligung an Heimaufgaben (+7,67 Punkte, p&lt;0,001), Besuche (+7,10 Punkte) und Außenräume (+6,52 Punkte) verbesserten Lebensqualität signifikant.</w:t>
      </w:r>
    </w:p>
    <w:p>
      <w:r>
        <w:rPr>
          <w:b/>
          <w:sz w:val="19"/>
        </w:rPr>
        <w:t xml:space="preserve">Übertragbarkeit: </w:t>
      </w:r>
      <w:r>
        <w:rPr>
          <w:sz w:val="19"/>
        </w:rPr>
        <w:t>Portugal, südeuropäisches Langzeitpflege-Setting, Ergebnisse auf deutsche Heime übertragbar</w:t>
      </w:r>
    </w:p>
    <w:p>
      <w:r>
        <w:rPr>
          <w:color w:val="5A7D3A"/>
          <w:sz w:val="18"/>
        </w:rPr>
        <w:t>https://pubmed.ncbi.nlm.nih.gov/42581428/</w:t>
      </w:r>
    </w:p>
    <w:p>
      <w:pPr>
        <w:pStyle w:val="Heading2"/>
      </w:pPr>
      <w:r>
        <w:t>Hospital at Home für Heimbewohner mit körperlichem Verfall: Erfahrungen des Pflegepersonals</w:t>
      </w:r>
    </w:p>
    <w:p>
      <w:r>
        <w:rPr>
          <w:i/>
          <w:color w:val="666666"/>
          <w:sz w:val="18"/>
        </w:rPr>
        <w:t>Nwolise C et al.  ·  Age Ageing  ·  03.08.2026  ·  PMID 42580694</w:t>
      </w:r>
    </w:p>
    <w:p>
      <w:r>
        <w:t>Qualitative Studie zu Erfahrungen von Heimleitern und Pflegepersonal mit dem Hospital-at-Home-Modell (Versorgung im gewohnten Setting statt Krankenhausaufnahme) bei älteren Bewohnern in englischen Pflegeheimen.</w:t>
      </w:r>
    </w:p>
    <w:p>
      <w:r>
        <w:rPr>
          <w:b/>
        </w:rPr>
        <w:t xml:space="preserve">Ergebnis: </w:t>
      </w:r>
      <w:r>
        <w:t>50 Befragte und 20 interviewte Pflegepersonen; Hospital at Home wurde als wertvoll wahrgenommen mit verbesserten Outcomes (Kontinuität, Würde, geringere Krankenhausrisiken) gegenüber stationärer Aufnahme, aber Barrieren wie begrenzte Kapazität und Öffnungszeiten schränken die Implementierung ein.</w:t>
      </w:r>
    </w:p>
    <w:p>
      <w:r>
        <w:rPr>
          <w:b/>
          <w:sz w:val="19"/>
        </w:rPr>
        <w:t xml:space="preserve">Übertragbarkeit: </w:t>
      </w:r>
      <w:r>
        <w:rPr>
          <w:sz w:val="19"/>
        </w:rPr>
        <w:t>England, aber Versorgungslogik vergleichbar mit deutschen Heimversorgungsmodellen</w:t>
      </w:r>
    </w:p>
    <w:p>
      <w:r>
        <w:rPr>
          <w:color w:val="5A7D3A"/>
          <w:sz w:val="18"/>
        </w:rPr>
        <w:t>https://pubmed.ncbi.nlm.nih.gov/42580694/</w:t>
      </w:r>
    </w:p>
    <w:p>
      <w:pPr>
        <w:pStyle w:val="Heading2"/>
      </w:pPr>
      <w:r>
        <w:t>Integrierte Versorgung für Kinder mit speziellen Versorgungsbedarfen: Lücken in Koordination und Familienorientierung</w:t>
      </w:r>
    </w:p>
    <w:p>
      <w:r>
        <w:rPr>
          <w:i/>
          <w:color w:val="666666"/>
          <w:sz w:val="18"/>
        </w:rPr>
        <w:t>Bohnert K et al.  ·  BMC Health Serv Res  ·  08.08.2026  ·  PMID 42576220</w:t>
      </w:r>
    </w:p>
    <w:p>
      <w:r>
        <w:t>Querschnittstudie in Deutschland mit 459 Eltern von Kindern mit neurologischen, entwicklungs- und verhaltensauffälligen Störungen zur Erfahrung der sektorenübergreifenden Versorgungskoordination und Familienunterstützung.</w:t>
      </w:r>
    </w:p>
    <w:p>
      <w:r>
        <w:rPr>
          <w:b/>
        </w:rPr>
        <w:t xml:space="preserve">Ergebnis: </w:t>
      </w:r>
      <w:r>
        <w:t>Moderate Teamqualität und Kommunikation (Mittelwert 4,1±1,1), niedrige Aufmerksamkeit für Familienbelastung (2,3±1,1); Zusammenhang mit ungedeckten Bedarfen: 1-4 ungedeckte Bedarfe assoziiert mit um 0,28 Punkte niedrigerer Teamqualität (p&lt;0,05), ≥5 Bedarfe um 0,83 Punkte niedriger (p&lt;0,05); größere Versorgungsnetzwerke mit besserer Familienorientierung (4-5 Provider: β=0,33; 6-10 Provider: β=0,38, jeweils p&lt;0,05).</w:t>
      </w:r>
    </w:p>
    <w:p>
      <w:r>
        <w:rPr>
          <w:b/>
          <w:sz w:val="19"/>
        </w:rPr>
        <w:t xml:space="preserve">Übertragbarkeit: </w:t>
      </w:r>
      <w:r>
        <w:rPr>
          <w:sz w:val="19"/>
        </w:rPr>
        <w:t>Deutschland, deutsche Kohortenstudie mit deutschem Versorgungssystem</w:t>
      </w:r>
    </w:p>
    <w:p>
      <w:r>
        <w:rPr>
          <w:color w:val="5A7D3A"/>
          <w:sz w:val="18"/>
        </w:rPr>
        <w:t>https://pubmed.ncbi.nlm.nih.gov/42576220/</w:t>
      </w:r>
    </w:p>
    <w:p>
      <w:pPr>
        <w:pStyle w:val="Heading2"/>
      </w:pPr>
      <w:r>
        <w:t>Palliativversorgung im Pflegeheim: Managementerfahrungen nach Schulung des Personals</w:t>
      </w:r>
    </w:p>
    <w:p>
      <w:r>
        <w:rPr>
          <w:i/>
          <w:color w:val="666666"/>
          <w:sz w:val="18"/>
        </w:rPr>
        <w:t>Åvik Persson H et al.  ·  BMC Palliat Care  ·  11.08.2026  ·  PMID 42576216</w:t>
      </w:r>
    </w:p>
    <w:p>
      <w:r>
        <w:t>Qualitativ-thematische Follow-up-Studie mit 22 Heimleitern in 20 schwedischen Pflegeheimen, die an einer mehrzentrisch evaluierten Schulungsintervention (KUPA-Programm: Seminare, reflektive Aktivitäten, Aufgaben) teilnahmen.</w:t>
      </w:r>
    </w:p>
    <w:p>
      <w:r>
        <w:rPr>
          <w:b/>
        </w:rPr>
        <w:t xml:space="preserve">Ergebnis: </w:t>
      </w:r>
      <w:r>
        <w:t>Interviews zeigten drei Hauptthemen: Navigation organisatorischer Barrieren, Aufrechterhaltung der Implementierung trotz Ressourcenmangel, Verbesserung des Wissens und gemeinsamer Sprache zum Thema Palliativpflege über Professionen hinweg; Langzeitkommitment, finanzielle Ressourcen und Managementkompetenz als Erfolgsfaktoren (qualitativ, keine quantifizierten Outcomes, aber Beobachtung von Implementierungshaltbarkeit).</w:t>
      </w:r>
    </w:p>
    <w:p>
      <w:r>
        <w:rPr>
          <w:b/>
          <w:sz w:val="19"/>
        </w:rPr>
        <w:t xml:space="preserve">Übertragbarkeit: </w:t>
      </w:r>
      <w:r>
        <w:rPr>
          <w:sz w:val="19"/>
        </w:rPr>
        <w:t>Schweden, skandinavisches Langzeitpflege-System mit vergleichbaren Finanzierungs- und Organisationsstrukturen</w:t>
      </w:r>
    </w:p>
    <w:p>
      <w:r>
        <w:rPr>
          <w:color w:val="5A7D3A"/>
          <w:sz w:val="18"/>
        </w:rPr>
        <w:t>https://pubmed.ncbi.nlm.nih.gov/42576216/</w:t>
      </w:r>
    </w:p>
    <w:p>
      <w:pPr>
        <w:pStyle w:val="Heading2"/>
      </w:pPr>
      <w:r>
        <w:t>Personalisierte Gewinnung und Bindung von akademisch ausgebildeten Pflegekräften: was BSN-Absolventen in deutschen Kliniken wirklich wollen</w:t>
      </w:r>
    </w:p>
    <w:p>
      <w:r>
        <w:rPr>
          <w:i/>
          <w:color w:val="666666"/>
          <w:sz w:val="18"/>
        </w:rPr>
        <w:t>Maier CB et al.  ·  BMJ Open  ·  10.08.2026  ·  PMID 42575558</w:t>
      </w:r>
    </w:p>
    <w:p>
      <w:r>
        <w:t>Mixed-Methods-Studie in 22 deutschen Krankenhäusern mit 1856 Pflegekräften (282 Bachelor-absolventen, 1574 dreijährig ausgebildete), Interviews mit 19 Personen zur Gewinnung und Bindung von BSN-Pflegekräften.</w:t>
      </w:r>
    </w:p>
    <w:p>
      <w:r>
        <w:rPr>
          <w:b/>
        </w:rPr>
        <w:t xml:space="preserve">Ergebnis: </w:t>
      </w:r>
      <w:r>
        <w:t>82,6 % der BSN beurteilten qualifikationsgerechte Bezahlung als hochgradig wichtig (vs. 52,7 % dreijährig Ausgebildete, p&lt;0,001); 63,8 % BSN (vs. 40,1 %, p&lt;0,001) schätzten individuelle Karrierechancen als zentral, 59,9 % (vs. 32,0 %, p&lt;0,001) forderten erweiterte klinische Aufgaben und Unabhängigkeit.</w:t>
      </w:r>
    </w:p>
    <w:p>
      <w:r>
        <w:rPr>
          <w:b/>
          <w:sz w:val="19"/>
        </w:rPr>
        <w:t xml:space="preserve">Übertragbarkeit: </w:t>
      </w:r>
      <w:r>
        <w:rPr>
          <w:sz w:val="19"/>
        </w:rPr>
        <w:t>Deutschland, direkt auf deutsche Krankenhäuser anwendbar</w:t>
      </w:r>
    </w:p>
    <w:p>
      <w:r>
        <w:rPr>
          <w:color w:val="5A7D3A"/>
          <w:sz w:val="18"/>
        </w:rPr>
        <w:t>https://pubmed.ncbi.nlm.nih.gov/42575558/</w:t>
      </w:r>
    </w:p>
    <w:p>
      <w:pPr>
        <w:pStyle w:val="Heading2"/>
      </w:pPr>
      <w:r>
        <w:t>Verbleib von Pflegekräften in Intensivpflege und Langzeitpflege: stabilisierende und destabilisierende Faktoren im Vergleich</w:t>
      </w:r>
    </w:p>
    <w:p>
      <w:r>
        <w:rPr>
          <w:i/>
          <w:color w:val="666666"/>
          <w:sz w:val="18"/>
        </w:rPr>
        <w:t>Lesnik T et al.  ·  J Nurs Manag  ·  2026  ·  PMID 42568162</w:t>
      </w:r>
    </w:p>
    <w:p>
      <w:r>
        <w:t>Qualitative Studie mit 52 Teilnehmern (Pflegemanager und Pflegepersonal) aus 9 Krankenhäusern und 8 Pflegeheimen in Österreich zu Faktoren, die zum Verbleib oder Weggang von Pflegekräften beitragen.</w:t>
      </w:r>
    </w:p>
    <w:p>
      <w:r>
        <w:rPr>
          <w:b/>
        </w:rPr>
        <w:t xml:space="preserve">Ergebnis: </w:t>
      </w:r>
      <w:r>
        <w:t>Stabilisierende Faktoren: fördernde Führung, positive Teamkultur, Autonomie; destabilisierende Faktoren: unangemessene Verantwortungslast, ethische Dilemmas und in Heimen zusätzlich: eingeschränkte Ärzteverfügbarkeit, Untervalourierung, geringe Aufstiegschancen (qualitative Ergebnisse, keine Prozentangaben, aber strukturierter Vergleich ICU vs. LTC).</w:t>
      </w:r>
    </w:p>
    <w:p>
      <w:r>
        <w:rPr>
          <w:b/>
          <w:sz w:val="19"/>
        </w:rPr>
        <w:t xml:space="preserve">Übertragbarkeit: </w:t>
      </w:r>
      <w:r>
        <w:rPr>
          <w:sz w:val="19"/>
        </w:rPr>
        <w:t>Österreich, vergleichbares deutsches Pflegesystem und ähnliche Arbeitsmarktdynamiken</w:t>
      </w:r>
    </w:p>
    <w:p>
      <w:r>
        <w:rPr>
          <w:color w:val="5A7D3A"/>
          <w:sz w:val="18"/>
        </w:rPr>
        <w:t>https://pubmed.ncbi.nlm.nih.gov/42568162/</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Studienarchiv - Pflege und Langzeitversorgung</dc:title>
  <dc:subject/>
  <dc:creator>Monitor Versorgungsforschung</dc:creator>
  <cp:keywords/>
  <dc:description>generated by python-docx</dc:description>
  <cp:lastModifiedBy/>
  <cp:revision>1</cp:revision>
  <dcterms:created xsi:type="dcterms:W3CDTF">2026-09-04T06:00:00Z</dcterms:created>
  <dcterms:modified xsi:type="dcterms:W3CDTF">2026-09-04T06:00:00Z</dcterms:modified>
  <cp:category/>
</cp:coreProperties>
</file>