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27.10.2026  |  391 Studien  |  pflege.m-vf.de</w:t>
      </w:r>
    </w:p>
    <w:p>
      <w:pPr>
        <w:pStyle w:val="Heading1"/>
      </w:pPr>
      <w:r>
        <w:t>Aufgenommen am 27.10.2026</w:t>
      </w:r>
    </w:p>
    <w:p>
      <w:pPr>
        <w:pStyle w:val="Heading2"/>
      </w:pPr>
      <w:r>
        <w:t>Insulinanpassung senkt Pflegefachbesuch und Kosten um über 75 Prozent</w:t>
      </w:r>
    </w:p>
    <w:p>
      <w:r>
        <w:rPr>
          <w:i/>
          <w:color w:val="666666"/>
          <w:sz w:val="18"/>
        </w:rPr>
        <w:t>Barr D et al.  ·  Br J Community Nurs  ·  02.11.2026  ·  PMID 42932244</w:t>
      </w:r>
    </w:p>
    <w:p>
      <w:r>
        <w:t>Qualitätsverbesserung mit Umsetzung durch ambulante Diabetesfachkräfte: Anpassung von Zweimal- auf Einmaltagesregimen bei Typ-2-Diabetes reduzierte Krankenhausbesuche.</w:t>
      </w:r>
    </w:p>
    <w:p>
      <w:r>
        <w:rPr>
          <w:b/>
        </w:rPr>
        <w:t xml:space="preserve">Ergebnis: </w:t>
      </w:r>
      <w:r>
        <w:t>77% Reduktion der Besuchshäufigkeit; HbA1c sank von 10,8% (94,9 mmol/mol) auf 9,3% (78,6 mmol/mol) nach 12 Monaten; geschätzte Kostenersparnis etwa 839.500 Pfund jährlich. Die Sterblichkeit betrug 30% über 18 Monate – ein Hinweis auf die Hochaltrigkeit der Kohorte.</w:t>
      </w:r>
    </w:p>
    <w:p>
      <w:r>
        <w:rPr>
          <w:b/>
          <w:sz w:val="19"/>
        </w:rPr>
        <w:t xml:space="preserve">Übertragbarkeit: </w:t>
      </w:r>
      <w:r>
        <w:rPr>
          <w:sz w:val="19"/>
        </w:rPr>
        <w:t>Großbritannien, NHS-Routinedaten, vergleichbare Versorgungsstruktur für ambulante Krankenpflege</w:t>
      </w:r>
    </w:p>
    <w:p>
      <w:r>
        <w:rPr>
          <w:color w:val="5A7D3A"/>
          <w:sz w:val="18"/>
        </w:rPr>
        <w:t>https://pubmed.ncbi.nlm.nih.gov/42932244/</w:t>
      </w:r>
    </w:p>
    <w:p>
      <w:pPr>
        <w:pStyle w:val="Heading2"/>
      </w:pPr>
      <w:r>
        <w:t>Direkte häusliche geriatrische Revalidation: Machbarkeit und Akzeptanz</w:t>
      </w:r>
    </w:p>
    <w:p>
      <w:r>
        <w:rPr>
          <w:i/>
          <w:color w:val="666666"/>
          <w:sz w:val="18"/>
        </w:rPr>
        <w:t>Jaski J et al.  ·  Tijdschr Gerontol Geriatr  ·  17.09.2026  ·  PMID 42931759</w:t>
      </w:r>
    </w:p>
    <w:p>
      <w:r>
        <w:t>Qualitative Evaluierung einer neuen Versorgungsform in den Niederlanden: ambulante geriatrische Revalidation ohne vorherige Heimaufnahme mit digitaler Unterstützung.</w:t>
      </w:r>
    </w:p>
    <w:p>
      <w:r>
        <w:rPr>
          <w:b/>
        </w:rPr>
        <w:t xml:space="preserve">Ergebnis: </w:t>
      </w:r>
      <w:r>
        <w:t>Fünf Rehabilitanden und fünf Angehörige berichteten hohe Zufriedenheit mit Fachkompetenz, Einfühlsamkeit und Kommunikation des interdisziplinären Teams; Tablet-gestützte Betreuung wurde überwiegend positiv bewertet; die hybride Mischung aus Präsenz- und Digitalangebot motivierte.</w:t>
      </w:r>
    </w:p>
    <w:p>
      <w:r>
        <w:rPr>
          <w:b/>
          <w:sz w:val="19"/>
        </w:rPr>
        <w:t xml:space="preserve">Übertragbarkeit: </w:t>
      </w:r>
      <w:r>
        <w:rPr>
          <w:sz w:val="19"/>
        </w:rPr>
        <w:t>Niederlande, vergleichbares Versicherungssystem, neue Versorgungsform seit 2025</w:t>
      </w:r>
    </w:p>
    <w:p>
      <w:r>
        <w:rPr>
          <w:color w:val="5A7D3A"/>
          <w:sz w:val="18"/>
        </w:rPr>
        <w:t>https://pubmed.ncbi.nlm.nih.gov/42931759/</w:t>
      </w:r>
    </w:p>
    <w:p>
      <w:pPr>
        <w:pStyle w:val="Heading2"/>
      </w:pPr>
      <w:r>
        <w:t>Pflegerische Leitungsarbeit in der häuslichen Altenpflege: situativ angepasstes Handeln</w:t>
      </w:r>
    </w:p>
    <w:p>
      <w:r>
        <w:rPr>
          <w:i/>
          <w:color w:val="666666"/>
          <w:sz w:val="18"/>
        </w:rPr>
        <w:t>Stien T et al.  ·  Int J Older People Nurs  ·  Nov. 2026  ·  PMID 42928518</w:t>
      </w:r>
    </w:p>
    <w:p>
      <w:r>
        <w:t>Teilnehmende Beobachtung (50 Stunden) mit acht Pflegefachkräften in skandinavischer Gemeindepflege zu Führungshandeln dicht bei älteren Menschen und zwischen den Kontakten.</w:t>
      </w:r>
    </w:p>
    <w:p>
      <w:r>
        <w:rPr>
          <w:b/>
        </w:rPr>
        <w:t xml:space="preserve">Ergebnis: </w:t>
      </w:r>
      <w:r>
        <w:t>Drei zentrale Führungsthemen: (1) holistische Sicht, Priorisierung von Bewohnerbedürfnissen vor Organisationssystem; (2) Anpassung an das Besondere – Umfeld und Selbst flexibel auf Situation ausrichten; (3) Einsatz professionellen Wissens. Übergreifendes Muster: Führung durch ‚Situationen nutzen' im Rahmen organisatorischer Grenzen. Dies erfordert Flexibilität und Anpassungsfähigkeit und offenbart Druck durch aufgabenfokussierte Organisationen.</w:t>
      </w:r>
    </w:p>
    <w:p>
      <w:r>
        <w:rPr>
          <w:b/>
          <w:sz w:val="19"/>
        </w:rPr>
        <w:t xml:space="preserve">Übertragbarkeit: </w:t>
      </w:r>
      <w:r>
        <w:rPr>
          <w:sz w:val="19"/>
        </w:rPr>
        <w:t>Skandinavien, ähnliche dezentralisierte Gemeindepflegestrukturen, qualitative Erkenntnisse zur Führungslogik</w:t>
      </w:r>
    </w:p>
    <w:p>
      <w:r>
        <w:rPr>
          <w:color w:val="5A7D3A"/>
          <w:sz w:val="18"/>
        </w:rPr>
        <w:t>https://pubmed.ncbi.nlm.nih.gov/42928518/</w:t>
      </w:r>
    </w:p>
    <w:p>
      <w:pPr>
        <w:pStyle w:val="Heading2"/>
      </w:pPr>
      <w:r>
        <w:t>Schlafförderung im Krankenhaus: Selbsteinschätzung und Barrieren des Pflegepersonals</w:t>
      </w:r>
    </w:p>
    <w:p>
      <w:r>
        <w:rPr>
          <w:i/>
          <w:color w:val="666666"/>
          <w:sz w:val="18"/>
        </w:rPr>
        <w:t>Vasse M et al.  ·  Scand J Caring Sci  ·  Dez. 2026  ·  PMID 42928489</w:t>
      </w:r>
    </w:p>
    <w:p>
      <w:r>
        <w:t>Querschnittumfrage unter finnischen Krankenhausfachkräften zur Selbsteinschätzung ihrer Schlafförderungsinterventionen und zum Einfluss von Ressourcen und Organisationskultur.</w:t>
      </w:r>
    </w:p>
    <w:p>
      <w:r>
        <w:rPr>
          <w:b/>
        </w:rPr>
        <w:t xml:space="preserve">Ergebnis: </w:t>
      </w:r>
      <w:r>
        <w:t>129 von 482 eingeladenen Fachkräften antworteten; Pflegekräfte bewerteten ihre schlafunterstützenden Aktivitäten positiv, speziell bei emotionaler Unterstützung; tiefste Scores bei Minimierung pflegebedingter Störungen. Organisatorische Faktoren (Raumgestaltung, Ressourcen, Kultur, Fort- und Weiterbildung) wurden als zentral für Umsetzung identifiziert.</w:t>
      </w:r>
    </w:p>
    <w:p>
      <w:r>
        <w:rPr>
          <w:b/>
          <w:sz w:val="19"/>
        </w:rPr>
        <w:t xml:space="preserve">Übertragbarkeit: </w:t>
      </w:r>
      <w:r>
        <w:rPr>
          <w:sz w:val="19"/>
        </w:rPr>
        <w:t>Skandinavien, ähnliche Organisationslogik im Krankenhauswesen</w:t>
      </w:r>
    </w:p>
    <w:p>
      <w:r>
        <w:rPr>
          <w:color w:val="5A7D3A"/>
          <w:sz w:val="18"/>
        </w:rPr>
        <w:t>https://pubmed.ncbi.nlm.nih.gov/42928489/</w:t>
      </w:r>
    </w:p>
    <w:p>
      <w:pPr>
        <w:pStyle w:val="Heading2"/>
      </w:pPr>
      <w:r>
        <w:t>Digitales Beratungsangebot für pflegende Angehörige in Österreich: Wirkung und Empowerment</w:t>
      </w:r>
    </w:p>
    <w:p>
      <w:r>
        <w:rPr>
          <w:i/>
          <w:color w:val="666666"/>
          <w:sz w:val="18"/>
        </w:rPr>
        <w:t>Gabl K et al.  ·  BMC Health Serv Res  ·  28.07.2026  ·  PMID 42928179</w:t>
      </w:r>
    </w:p>
    <w:p>
      <w:r>
        <w:t>Realistische Evaluierung eines österreichischen digitalen Beratungsdienstes (Alles Clara) mit 52–169 Online-Befragten und Interviews: Wirkung auf Angehörige und Fachkräfte.</w:t>
      </w:r>
    </w:p>
    <w:p>
      <w:r>
        <w:rPr>
          <w:b/>
        </w:rPr>
        <w:t xml:space="preserve">Ergebnis: </w:t>
      </w:r>
      <w:r>
        <w:t>Pflegende Angehörige nutzten den Service anonym und ortunabhängig; vertrauensvolle Beziehung zu Beraterinnen ermöglichte personenzentrierte Beratung; Angehörige verloren das Gefühl der Isolation und gestalteten nächste Schritte selbstbestimmter. Fachkräfte entwickelten beruflichen Stolz und erkannten den Wert ihrer ferngestützten Arbeit ('sichtbar gemacht').</w:t>
      </w:r>
    </w:p>
    <w:p>
      <w:r>
        <w:rPr>
          <w:b/>
          <w:sz w:val="19"/>
        </w:rPr>
        <w:t xml:space="preserve">Übertragbarkeit: </w:t>
      </w:r>
      <w:r>
        <w:rPr>
          <w:sz w:val="19"/>
        </w:rPr>
        <w:t>Österreich, vergleichbar deutsches Pflegeversicherungssystem und Berufsbild</w:t>
      </w:r>
    </w:p>
    <w:p>
      <w:r>
        <w:rPr>
          <w:color w:val="5A7D3A"/>
          <w:sz w:val="18"/>
        </w:rPr>
        <w:t>https://pubmed.ncbi.nlm.nih.gov/42928179/</w:t>
      </w:r>
    </w:p>
    <w:p>
      <w:pPr>
        <w:pStyle w:val="Heading2"/>
      </w:pPr>
      <w:r>
        <w:t>Pflegende Angehörige bei Parkinson: zentrale Rolle in Selbstpflege und Management</w:t>
      </w:r>
    </w:p>
    <w:p>
      <w:r>
        <w:rPr>
          <w:i/>
          <w:color w:val="666666"/>
          <w:sz w:val="18"/>
        </w:rPr>
        <w:t>Monica P et al.  ·  J Nurs Scholarsh  ·  Nov. 2026  ·  PMID 42908219</w:t>
      </w:r>
    </w:p>
    <w:p>
      <w:r>
        <w:t>Qualitative Studie mit 20 Interviews zur Rolle von Angehörigen bei der Unterstützung von Parkinson-Patienten in Selbstversorgung, Monitoring und Symptommanagement.</w:t>
      </w:r>
    </w:p>
    <w:p>
      <w:r>
        <w:rPr>
          <w:b/>
        </w:rPr>
        <w:t xml:space="preserve">Ergebnis: </w:t>
      </w:r>
      <w:r>
        <w:t>75% weibliche Angehörige, Durchschnittsalter 63,7 Jahre, 90% Ehepartner, 95% im Haushalt; Angehörige unterstützten bei Medikamentencompliance, körperlicher Aktivität, Sicherheit und Ernährung; Monitoring alltäglicher Aktivitäten und Symptome; Symptommanagement-Strategien und nicht-pharmakologische Interventionen waren zentral. Schwierigkeiten und Interaktionen mit Fachkräften beeinflussten die Versorgung.</w:t>
      </w:r>
    </w:p>
    <w:p>
      <w:r>
        <w:rPr>
          <w:b/>
          <w:sz w:val="19"/>
        </w:rPr>
        <w:t xml:space="preserve">Übertragbarkeit: </w:t>
      </w:r>
      <w:r>
        <w:rPr>
          <w:sz w:val="19"/>
        </w:rPr>
        <w:t>Italien, qualitative Erkenntnisse zur Rolle von Angehörigen, unabhängig von Versicherungssystem</w:t>
      </w:r>
    </w:p>
    <w:p>
      <w:r>
        <w:rPr>
          <w:color w:val="5A7D3A"/>
          <w:sz w:val="18"/>
        </w:rPr>
        <w:t>https://pubmed.ncbi.nlm.nih.gov/42908219/</w:t>
      </w:r>
    </w:p>
    <w:p>
      <w:pPr>
        <w:pStyle w:val="Heading1"/>
      </w:pPr>
      <w:r>
        <w:t>Aufgenommen am 26.10.2026</w:t>
      </w:r>
    </w:p>
    <w:p>
      <w:pPr>
        <w:pStyle w:val="Heading2"/>
      </w:pPr>
      <w:r>
        <w:t>Pflegeleistung im Krankenhaus: Dimensionen und Wirkungen von Pflegekompetenz</w:t>
      </w:r>
    </w:p>
    <w:p>
      <w:r>
        <w:rPr>
          <w:i/>
          <w:color w:val="666666"/>
          <w:sz w:val="18"/>
        </w:rPr>
        <w:t>Chen P et al.  ·  J Nurs Manag  ·  2026  ·  PMID 42922197</w:t>
      </w:r>
    </w:p>
    <w:p>
      <w:r>
        <w:t>Hybride Konzeptanalyse mit systematischer Literaturrecherche (43 Studien) und qualitativen Interviews (27 Patienten, 10 Pflegekräfte, 3 Manager) zur Definition und Messung von klinischem Pflegeleistungswert.</w:t>
      </w:r>
    </w:p>
    <w:p>
      <w:r>
        <w:rPr>
          <w:b/>
        </w:rPr>
        <w:t xml:space="preserve">Ergebnis: </w:t>
      </w:r>
      <w:r>
        <w:t>Pflegeleistung wird als Komposit aus fünf Dimensionen definiert: technisch, ökonomisch, humanistisch, informativ und sozial. Antezedenzien liegen in System/Organisation, Pflegeteam, Patienten/Familien und Technologie. Konsequenzen beeinflussen Patienten, Pflegeteam, Pflegeprofession, Klinik und Gesundheitssystem. Das Modell bildet Grundlage für Leistungsbewertung und Ressourcenallokation.</w:t>
      </w:r>
    </w:p>
    <w:p>
      <w:r>
        <w:rPr>
          <w:b/>
          <w:sz w:val="19"/>
        </w:rPr>
        <w:t xml:space="preserve">Übertragbarkeit: </w:t>
      </w:r>
      <w:r>
        <w:rPr>
          <w:sz w:val="19"/>
        </w:rPr>
        <w:t>China, konzeptionelle Rahmenarbeit; Dimensionen von Pflegeleistung international anwendbar</w:t>
      </w:r>
    </w:p>
    <w:p>
      <w:r>
        <w:rPr>
          <w:color w:val="5A7D3A"/>
          <w:sz w:val="18"/>
        </w:rPr>
        <w:t>https://pubmed.ncbi.nlm.nih.gov/42922197/</w:t>
      </w:r>
    </w:p>
    <w:p>
      <w:pPr>
        <w:pStyle w:val="Heading2"/>
      </w:pPr>
      <w:r>
        <w:t>Telemedizinische Pflegefachkraft-Betreuung bei Herzinsuffizienz: Selbstpflege und Wiederaufnahmen</w:t>
      </w:r>
    </w:p>
    <w:p>
      <w:r>
        <w:rPr>
          <w:i/>
          <w:color w:val="666666"/>
          <w:sz w:val="18"/>
        </w:rPr>
        <w:t>Zhu P et al.  ·  Nurs Health Sci  ·  Dez. 2026  ·  PMID 42922152</w:t>
      </w:r>
    </w:p>
    <w:p>
      <w:r>
        <w:t>Retrospektive Kohortenstudie (58 Telemedizin vs. 54 Routine-Nachsorge) zu risikostratifizierter WeChat-basierter Telemedizin bei 112 Patienten mit chronischer Herzinsuffizienz 2023–2024.</w:t>
      </w:r>
    </w:p>
    <w:p>
      <w:r>
        <w:rPr>
          <w:b/>
        </w:rPr>
        <w:t xml:space="preserve">Ergebnis: </w:t>
      </w:r>
      <w:r>
        <w:t>6-Monats-Wiederaufnahmequote ungematchter Kohorte: 13,8 % (Telemedizin) vs. 31,5 % (Routine, p = 0,02); nach 1:1 Propensity-Score-Matching (46 Paare): 15,2 % vs. 32,6 % (p = 0,04). Unadjustiertes Hazard Ratio 0,43 (95%-KI 0,18–0,99). Alle drei SCHFI-v7.2-C-Subskalen verbesserten sich mit Telemedizin (p &lt; 0,001). Effekt auf Wiederaufnahmen statistisch grenzwertig, aber Selbstpflege-Verbesserungen konsistent.</w:t>
      </w:r>
    </w:p>
    <w:p>
      <w:r>
        <w:rPr>
          <w:b/>
          <w:sz w:val="19"/>
        </w:rPr>
        <w:t xml:space="preserve">Übertragbarkeit: </w:t>
      </w:r>
      <w:r>
        <w:rPr>
          <w:sz w:val="19"/>
        </w:rPr>
        <w:t>China, aber Telemedizin-Konzept und Selbstpflege-Messung international übertragbar; Prospektive Bestätigung erforderlich</w:t>
      </w:r>
    </w:p>
    <w:p>
      <w:r>
        <w:rPr>
          <w:color w:val="5A7D3A"/>
          <w:sz w:val="18"/>
        </w:rPr>
        <w:t>https://pubmed.ncbi.nlm.nih.gov/42922152/</w:t>
      </w:r>
    </w:p>
    <w:p>
      <w:pPr>
        <w:pStyle w:val="Heading2"/>
      </w:pPr>
      <w:r>
        <w:t>Belastungsfaktoren und Gesundheit von Pflegehelferinnen im Heim: Was Arbeitsbedingungen bewirken</w:t>
      </w:r>
    </w:p>
    <w:p>
      <w:r>
        <w:rPr>
          <w:i/>
          <w:color w:val="666666"/>
          <w:sz w:val="18"/>
        </w:rPr>
        <w:t>Catalano A et al.  ·  J Nurs Manag  ·  2026  ·  PMID 42922003</w:t>
      </w:r>
    </w:p>
    <w:p>
      <w:r>
        <w:t>Querschnittstudie zu Burnout, psychischen Belastungen und Muskel-Skelett-Beschwerden bei 202 Pflegehelferinnen in italienischen Pflegeheimen.</w:t>
      </w:r>
    </w:p>
    <w:p>
      <w:r>
        <w:rPr>
          <w:b/>
        </w:rPr>
        <w:t xml:space="preserve">Ergebnis: </w:t>
      </w:r>
      <w:r>
        <w:t>86 % berichteten Muskel-Skelett-Schmerzen an mindestens zwei Körperstellen. Job-Unsicherheit war signifikant mit erhöhtem Depressionrisiko, Emotionaler Erschöpfung und Depersonalisierung assoziiert (p &lt; 0,05). Arbeit in Heimen mit hohem Betreuungsbedarf war mit erhöhter Depression und Angststörung verknüpft. Die Befunde zeigen enge Zusammenhänge zwischen physischer Belastung, organisatorischen Faktoren und psychischer Gesundheit.</w:t>
      </w:r>
    </w:p>
    <w:p>
      <w:r>
        <w:rPr>
          <w:b/>
          <w:sz w:val="19"/>
        </w:rPr>
        <w:t xml:space="preserve">Übertragbarkeit: </w:t>
      </w:r>
      <w:r>
        <w:rPr>
          <w:sz w:val="19"/>
        </w:rPr>
        <w:t>Italien, vergleichbare südeuropäische Pflegeheimstruktur; Aussagen zu Organisationsfaktoren übertragbar</w:t>
      </w:r>
    </w:p>
    <w:p>
      <w:r>
        <w:rPr>
          <w:color w:val="5A7D3A"/>
          <w:sz w:val="18"/>
        </w:rPr>
        <w:t>https://pubmed.ncbi.nlm.nih.gov/42922003/</w:t>
      </w:r>
    </w:p>
    <w:p>
      <w:pPr>
        <w:pStyle w:val="Heading2"/>
      </w:pPr>
      <w:r>
        <w:t>Emotionale Anforderungen im Pflegeberuf: Was Erfahrung über längere Karrieren bewirkt</w:t>
      </w:r>
    </w:p>
    <w:p>
      <w:r>
        <w:rPr>
          <w:i/>
          <w:color w:val="666666"/>
          <w:sz w:val="18"/>
        </w:rPr>
        <w:t>Popucza TZ et al.  ·  Nurs Open  ·  Okt. 2026  ·  PMID 42921873</w:t>
      </w:r>
    </w:p>
    <w:p>
      <w:r>
        <w:t>Qualitative Studie mit 13 schwedischen Pflegekräften ab 60 Jahren mit mindestens 20 Jahren Berufserfahrung zu Veränderungen emotionaler Anforderungen und Emotionsregulation über die Karriere.</w:t>
      </w:r>
    </w:p>
    <w:p>
      <w:r>
        <w:rPr>
          <w:b/>
        </w:rPr>
        <w:t xml:space="preserve">Ergebnis: </w:t>
      </w:r>
      <w:r>
        <w:t>Teilnehmende beschrieben zunehmende berufliche Vorbereitung und bewusstere Emotionsregulation über die Zeit, jedoch nicht allein altersbedingt, sondern in Verbindung mit beruflichen und persönlichen Umständen, Arbeitsplatzveränderungen und gesellschaftlichen Transformationen. Emotionale Nachhaltigkeit hängt mit Arbeitsgestaltung, Erholungsmöglichkeiten und Mentoring-Chancen zusammen.</w:t>
      </w:r>
    </w:p>
    <w:p>
      <w:r>
        <w:rPr>
          <w:b/>
          <w:sz w:val="19"/>
        </w:rPr>
        <w:t xml:space="preserve">Übertragbarkeit: </w:t>
      </w:r>
      <w:r>
        <w:rPr>
          <w:sz w:val="19"/>
        </w:rPr>
        <w:t>Schweden, ähnliche nordische Pflegestruktur; Befunde zur emotionalen Belastbarkeit relevant für Karriereverlauf</w:t>
      </w:r>
    </w:p>
    <w:p>
      <w:r>
        <w:rPr>
          <w:color w:val="5A7D3A"/>
          <w:sz w:val="18"/>
        </w:rPr>
        <w:t>https://pubmed.ncbi.nlm.nih.gov/42921873/</w:t>
      </w:r>
    </w:p>
    <w:p>
      <w:pPr>
        <w:pStyle w:val="Heading2"/>
      </w:pPr>
      <w:r>
        <w:t>Partizipative Entscheidungsfindung in der Gastroenterologie: Rolle und Barrieren für die Pflegefachkraft</w:t>
      </w:r>
    </w:p>
    <w:p>
      <w:r>
        <w:rPr>
          <w:i/>
          <w:color w:val="666666"/>
          <w:sz w:val="18"/>
        </w:rPr>
        <w:t>Schoefs E et al.  ·  BMC Health Serv Res  ·  05.10.2026  ·  PMID 42907825</w:t>
      </w:r>
    </w:p>
    <w:p>
      <w:r>
        <w:t>Qualitative Studie mit 15 Patienten, 11 Gastroenterologen und 12 IBD-Pflegekräften in Belgien zur Umsetzung von Shared Decision Making (SDM) in der Versorgung.</w:t>
      </w:r>
    </w:p>
    <w:p>
      <w:r>
        <w:rPr>
          <w:b/>
        </w:rPr>
        <w:t xml:space="preserve">Ergebnis: </w:t>
      </w:r>
      <w:r>
        <w:t>Ärzte berichten routinemäßige SDM-Schritte, Patienten jedoch Inkonsistenzen bei emotionaler Unterstützung, Informationsklarheit und Präferenzenerhebung (p &lt; 0,05). IBD-Pflegekräfte wurden als wesentliche SDM-Partner wahrgenommen – sie verstärken Informationen, fördern Kommunikation und adressieren physische, emotionale und soziale Patientenbedürfnisse. Hauptbarrieren: niedrige Gesundheitskompetenz, mangelnde Kommunikation, Zeitdruck. Schlüsselfaktoren: SDM-Training und organisatorische Änderungen.</w:t>
      </w:r>
    </w:p>
    <w:p>
      <w:r>
        <w:rPr>
          <w:b/>
          <w:sz w:val="19"/>
        </w:rPr>
        <w:t xml:space="preserve">Übertragbarkeit: </w:t>
      </w:r>
      <w:r>
        <w:rPr>
          <w:sz w:val="19"/>
        </w:rPr>
        <w:t>Belgien, niederländischsprachiges System mit ähnlichen Versicherungsstrukturen; SDM-Barrieren auch in deutscher Versorgung relevant</w:t>
      </w:r>
    </w:p>
    <w:p>
      <w:r>
        <w:rPr>
          <w:color w:val="5A7D3A"/>
          <w:sz w:val="18"/>
        </w:rPr>
        <w:t>https://pubmed.ncbi.nlm.nih.gov/42907825/</w:t>
      </w:r>
    </w:p>
    <w:p>
      <w:pPr>
        <w:pStyle w:val="Heading1"/>
      </w:pPr>
      <w:r>
        <w:t>Aufgenommen am 25.10.2026</w:t>
      </w:r>
    </w:p>
    <w:p>
      <w:pPr>
        <w:pStyle w:val="Heading2"/>
      </w:pPr>
      <w:r>
        <w:t>Frailty-Screening mit Prävention reduziert Pflegebedürftigkeit im Alter</w:t>
      </w:r>
    </w:p>
    <w:p>
      <w:r>
        <w:rPr>
          <w:i/>
          <w:color w:val="666666"/>
          <w:sz w:val="18"/>
        </w:rPr>
        <w:t>Soma S et al.  ·  Age Ageing  ·  03.08.2026  ·  PMID 42920343</w:t>
      </w:r>
    </w:p>
    <w:p>
      <w:r>
        <w:t>Studie zur Wirkung eines Screenings auf Gebrechlichkeit mit anschließender Gesundheitsberatung auf die Rate von Pflegegrad-Zertifizierungen bei über 75-Jährigen in Japan.</w:t>
      </w:r>
    </w:p>
    <w:p>
      <w:r>
        <w:rPr>
          <w:b/>
        </w:rPr>
        <w:t xml:space="preserve">Ergebnis: </w:t>
      </w:r>
      <w:r>
        <w:t>Nach Einführung des Screening-basierten Interventionsprogramms sank die monatliche Quote der Pflegezertifizierungen in der Altersgruppe ≥75 Jahre um 6,8 % (95%-CI: 4,4–10,0 %) gegenüber dem projizierten Trend ohne Intervention. Die annualisierte Trendänderung zeigte ein Hazard Ratio von 0,974 (95%-CI: 0,963–0,983).</w:t>
      </w:r>
    </w:p>
    <w:p>
      <w:r>
        <w:rPr>
          <w:b/>
          <w:sz w:val="19"/>
        </w:rPr>
        <w:t xml:space="preserve">Übertragbarkeit: </w:t>
      </w:r>
      <w:r>
        <w:rPr>
          <w:sz w:val="19"/>
        </w:rPr>
        <w:t>Japan, aber mit Pflegezertifizierungssystem vergleichbar zur Erfassung von Pflegebedürftigkeit; kommunales Ansatzmodell übertragbar.</w:t>
      </w:r>
    </w:p>
    <w:p>
      <w:r>
        <w:rPr>
          <w:color w:val="5A7D3A"/>
          <w:sz w:val="18"/>
        </w:rPr>
        <w:t>https://pubmed.ncbi.nlm.nih.gov/42920343/</w:t>
      </w:r>
    </w:p>
    <w:p>
      <w:pPr>
        <w:pStyle w:val="Heading2"/>
      </w:pPr>
      <w:r>
        <w:t>CFTR-Modulatoren senken Belastung und Arbeitsausfälle pflegender Angehöriger</w:t>
      </w:r>
    </w:p>
    <w:p>
      <w:r>
        <w:rPr>
          <w:i/>
          <w:color w:val="666666"/>
          <w:sz w:val="18"/>
        </w:rPr>
        <w:t>Oliveira VDGSB et al.  ·  Orphanet J Rare Dis  ·  23.07.2026  ·  PMID 42920171</w:t>
      </w:r>
    </w:p>
    <w:p>
      <w:r>
        <w:t>Querschnittsstudie mit 174 primären Pflegepersonen (90,2 % Mütter) von Mukoviszidose-Patienten in Brasilien, vergleichend für Nutzer und Nicht-Nutzer von Elexacaftor/Tezacaftor/Ivacaftor (ETI).</w:t>
      </w:r>
    </w:p>
    <w:p>
      <w:r>
        <w:rPr>
          <w:b/>
        </w:rPr>
        <w:t xml:space="preserve">Ergebnis: </w:t>
      </w:r>
      <w:r>
        <w:t>Pflegepersonen von Nicht-Modulatoren-Nutzern investierten täglich signifikant mehr Zeit (300 Min. [IQR: 180–300] vs. 180 Min. [IQR: 90–240]; p=0,002) und hatten häufigere Arztkontakte (p=0,003). Zarit Burden Interview-12: höhere Scores in der Nicht-Modulatoren-Gruppe (20,0 [IQR: 16,0–25,2] vs. 15,5 [IQR: 11,2–23,0]; p=0,006); bei Kindern unter 5 Jahren noch ausgeprägter (20,0 vs. 14,0; p=0,003). Absenteeismus (15,8 % vs. 0,0 %; p=0,034), Präsentismus (50,0 % vs. 20,0 %; p=0,048) und Aktivitätsbeeinträchtigung (50,0 % vs. 30,0 %; p=0,011) signifikant höher ohne Modulatoren.</w:t>
      </w:r>
    </w:p>
    <w:p>
      <w:r>
        <w:rPr>
          <w:b/>
          <w:sz w:val="19"/>
        </w:rPr>
        <w:t xml:space="preserve">Übertragbarkeit: </w:t>
      </w:r>
      <w:r>
        <w:rPr>
          <w:sz w:val="19"/>
        </w:rPr>
        <w:t>Brasilien; aber Mechanismus der Entlastung durch bessere Gesundheit des Patienten übergeordnet übertragbar.</w:t>
      </w:r>
    </w:p>
    <w:p>
      <w:r>
        <w:rPr>
          <w:color w:val="5A7D3A"/>
          <w:sz w:val="18"/>
        </w:rPr>
        <w:t>https://pubmed.ncbi.nlm.nih.gov/42920171/</w:t>
      </w:r>
    </w:p>
    <w:p>
      <w:pPr>
        <w:pStyle w:val="Heading2"/>
      </w:pPr>
      <w:r>
        <w:t>Unterstützungsbedarf pflegender Angehöriger von Myeloma-Patienten: massive Versorgungslücken</w:t>
      </w:r>
    </w:p>
    <w:p>
      <w:r>
        <w:rPr>
          <w:i/>
          <w:color w:val="666666"/>
          <w:sz w:val="18"/>
        </w:rPr>
        <w:t>Lin Y et al.  ·  BMC Palliat Care  ·  29.08.2026  ·  PMID 42920119</w:t>
      </w:r>
    </w:p>
    <w:p>
      <w:r>
        <w:t>Querschnittsstudie mit 227 pflegenden Angehörigen von Myeloma-Patienten in Südostchina zur Erfassung von Unterstützungsbedarfen und wahrgenommener Verfügbarkeit von Hilfsangeboten.</w:t>
      </w:r>
    </w:p>
    <w:p>
      <w:r>
        <w:rPr>
          <w:b/>
        </w:rPr>
        <w:t xml:space="preserve">Ergebnis: </w:t>
      </w:r>
      <w:r>
        <w:t>Höchster Bedarf bestand für Krankheitsinformation (90,04 %), niedrigste wahrgenommene Versorgung für psychosoziale Ressourcen (50,05 %). In den Top-10 unerfüllter Bedürfnisse: vier Items zu psychosozialen Ressourcen, drei zu Pflegefähigkeiten, zwei zu medizinischen Diensten, eines zu Krankheitsinformation. Ehegatten, Personen mit Vorpflegeerfahrung und die, die auch Kinder betreuen, hatten signifikant höhere Bedarfswerte.</w:t>
      </w:r>
    </w:p>
    <w:p>
      <w:r>
        <w:rPr>
          <w:b/>
          <w:sz w:val="19"/>
        </w:rPr>
        <w:t xml:space="preserve">Übertragbarkeit: </w:t>
      </w:r>
      <w:r>
        <w:rPr>
          <w:sz w:val="19"/>
        </w:rPr>
        <w:t>China, aber Bedarfsstruktur pflegender Angehöriger übergeordnet vergleichbar.</w:t>
      </w:r>
    </w:p>
    <w:p>
      <w:r>
        <w:rPr>
          <w:color w:val="5A7D3A"/>
          <w:sz w:val="18"/>
        </w:rPr>
        <w:t>https://pubmed.ncbi.nlm.nih.gov/42920119/</w:t>
      </w:r>
    </w:p>
    <w:p>
      <w:pPr>
        <w:pStyle w:val="Heading2"/>
      </w:pPr>
      <w:r>
        <w:t>Vergebungs-Psychoedukation reduziert Todesangst und Pflegebelastung am Lebensende</w:t>
      </w:r>
    </w:p>
    <w:p>
      <w:r>
        <w:rPr>
          <w:i/>
          <w:color w:val="666666"/>
          <w:sz w:val="18"/>
        </w:rPr>
        <w:t>Cancer Nurs  ·  21.10.2026  ·  PMID 42919807</w:t>
      </w:r>
    </w:p>
    <w:p>
      <w:r>
        <w:t>Randomisierte kontrollierte Studie zur Wirkung einer Psychoedukationsintervention zum Thema Vergebung auf Todesangst, Pflegebelastung und Vergebungsneigung bei 56 Pflegepersonen von Sterbenden (Interventionsgruppe n=28, Kontrollgruppe n=28).</w:t>
      </w:r>
    </w:p>
    <w:p>
      <w:r>
        <w:rPr>
          <w:b/>
        </w:rPr>
        <w:t xml:space="preserve">Ergebnis: </w:t>
      </w:r>
      <w:r>
        <w:t>Die durchschnittlichen Scores für Todesangst und Pflegebelastung in Post-Test und Verlaufsmessungen (1 und 3 Monate) der Interventionsgruppe waren statistisch signifikant niedriger als in der Kontrollgruppe (p&lt;0,05). Die Intervention zeigte anhaltende Effekte über alle Follow-up-Zeitpunkte.</w:t>
      </w:r>
    </w:p>
    <w:p>
      <w:r>
        <w:rPr>
          <w:b/>
          <w:sz w:val="19"/>
        </w:rPr>
        <w:t xml:space="preserve">Übertragbarkeit: </w:t>
      </w:r>
      <w:r>
        <w:rPr>
          <w:sz w:val="19"/>
        </w:rPr>
        <w:t>Ursprungsland nicht genannt; aber Intervention psychoedukativer Art mit allgemeinen Anwendbarkeitsprinzipien.</w:t>
      </w:r>
    </w:p>
    <w:p>
      <w:r>
        <w:rPr>
          <w:color w:val="5A7D3A"/>
          <w:sz w:val="18"/>
        </w:rPr>
        <w:t>https://pubmed.ncbi.nlm.nih.gov/42919807/</w:t>
      </w:r>
    </w:p>
    <w:p>
      <w:pPr>
        <w:pStyle w:val="Heading2"/>
      </w:pPr>
      <w:r>
        <w:t>Advanced Practice Nursing in Deutschland und Brasilien: regulatorische Hürden, Akademisierungswege</w:t>
      </w:r>
    </w:p>
    <w:p>
      <w:r>
        <w:rPr>
          <w:i/>
          <w:color w:val="666666"/>
          <w:sz w:val="18"/>
        </w:rPr>
        <w:t>Bula DA et al.  ·  Rev Bras Enferm  ·  16.10.2026  ·  PMID 42912127</w:t>
      </w:r>
    </w:p>
    <w:p>
      <w:r>
        <w:t>Qualitative Vergleichsstudie durch Analyse von Strategiedokumenten und Sekundärdaten zu Bedingungen der Advanced Practice Nursing Entwicklung in der Primärversorgung in Brasilien und Deutschland.</w:t>
      </w:r>
    </w:p>
    <w:p>
      <w:r>
        <w:rPr>
          <w:b/>
        </w:rPr>
        <w:t xml:space="preserve">Ergebnis: </w:t>
      </w:r>
      <w:r>
        <w:t>Brasilien: langjährige akademische Pflegeausbildung und etablierte Verantwortungen unterstützen Advanced Practice Nursing, aber Regulierungslücken bleiben Barriere. Deutschland: Entwicklung reflektiert berufsständische Pflegetradition und rezente Akademisierungsbewegung mit wenigen AP-Masterstudiengängen; ärztezentriertes Modell der Primärversorgung und unzureichende Rechtsgrundlagen hemmen Umsetzung trotz wachsenden politischen Moments. Schlussfolgerung: Entwicklung ist kontext- und landspezifisch; effektive Implementierung erfordert Alignment mit Institutionen, Ausbildungswegen und Berufsrollen.</w:t>
      </w:r>
    </w:p>
    <w:p>
      <w:r>
        <w:rPr>
          <w:b/>
          <w:sz w:val="19"/>
        </w:rPr>
        <w:t xml:space="preserve">Übertragbarkeit: </w:t>
      </w:r>
      <w:r>
        <w:rPr>
          <w:sz w:val="19"/>
        </w:rPr>
        <w:t>Deutschland und direkter Vergleich mit Brasilien; illustriert strukturelle und regulatorische Barrieren im deutschen System.</w:t>
      </w:r>
    </w:p>
    <w:p>
      <w:r>
        <w:rPr>
          <w:color w:val="5A7D3A"/>
          <w:sz w:val="18"/>
        </w:rPr>
        <w:t>https://pubmed.ncbi.nlm.nih.gov/42912127/</w:t>
      </w:r>
    </w:p>
    <w:p>
      <w:pPr>
        <w:pStyle w:val="Heading2"/>
      </w:pPr>
      <w:r>
        <w:t>Infektionsprävention in Pflegeheimen: standardisierte Verfahren verbessern Compliance</w:t>
      </w:r>
    </w:p>
    <w:p>
      <w:r>
        <w:rPr>
          <w:i/>
          <w:color w:val="666666"/>
          <w:sz w:val="18"/>
        </w:rPr>
        <w:t>Bordino V et al.  ·  Antimicrob Resist Infect Control  ·  25.07.2026  ·  PMID 42907937</w:t>
      </w:r>
    </w:p>
    <w:p>
      <w:r>
        <w:t>Zwei regionale Befragungen in italienischen Pflegeheimen (2021–2022 und 2024) zur Verfügbarkeit, Annahme und Nützlichkeit standardisierter Infektionspräventions-Verfahrensdokumente.</w:t>
      </w:r>
    </w:p>
    <w:p>
      <w:r>
        <w:rPr>
          <w:b/>
        </w:rPr>
        <w:t xml:space="preserve">Ergebnis: </w:t>
      </w:r>
      <w:r>
        <w:t>In der ersten Befragung (n=436 Heime, 55,9 % Response): hohe Verfügbarkeit schriftlicher Verfahren für Handhygiene (99,1 %), COVID-19-Isolation (99,8 %) und Reinigung (98,9 %); niedrig für Sterilisation (46,2 %), Bloodstream-Infektionsprävention (45,9 %) und Management colonisierter Patienten (62,0 %). Nach Verbreitung standardisierter Verfahren (2023) gaben 99,7 % der 305 teilnehmenden Heime (39,1 %) an, diese als angemessen zu befinden; 89 % urteilten insgesamt positiv.</w:t>
      </w:r>
    </w:p>
    <w:p>
      <w:r>
        <w:rPr>
          <w:b/>
          <w:sz w:val="19"/>
        </w:rPr>
        <w:t xml:space="preserve">Übertragbarkeit: </w:t>
      </w:r>
      <w:r>
        <w:rPr>
          <w:sz w:val="19"/>
        </w:rPr>
        <w:t>Italien, vergleichbares Gesundheitssystem; strukturierte regionale Ressourcen als Governance-Element.</w:t>
      </w:r>
    </w:p>
    <w:p>
      <w:r>
        <w:rPr>
          <w:color w:val="5A7D3A"/>
          <w:sz w:val="18"/>
        </w:rPr>
        <w:t>https://pubmed.ncbi.nlm.nih.gov/42907937/</w:t>
      </w:r>
    </w:p>
    <w:p>
      <w:pPr>
        <w:pStyle w:val="Heading1"/>
      </w:pPr>
      <w:r>
        <w:t>Aufgenommen am 24.10.2026</w:t>
      </w:r>
    </w:p>
    <w:p>
      <w:pPr>
        <w:pStyle w:val="Heading2"/>
      </w:pPr>
      <w:r>
        <w:t>Sturzprävention durch Schulung: Wirkung auf Wissen, Sicherheit und Fallraten bei älteren Patienten im Krankenhaus</w:t>
      </w:r>
    </w:p>
    <w:p>
      <w:r>
        <w:rPr>
          <w:i/>
          <w:color w:val="666666"/>
          <w:sz w:val="18"/>
        </w:rPr>
        <w:t>Kim E et al.  ·  BMC Geriatr  ·  27.07.2026  ·  PMID 42919133</w:t>
      </w:r>
    </w:p>
    <w:p>
      <w:r>
        <w:t>Quasi-experimentelle Studie zum Vergleich einer intensiven, partizipativen Schulung (APREAL) mit Routineunterricht bei 70 älteren Patienten in koreanischen Pflegestationen.</w:t>
      </w:r>
    </w:p>
    <w:p>
      <w:r>
        <w:rPr>
          <w:b/>
        </w:rPr>
        <w:t xml:space="preserve">Ergebnis: </w:t>
      </w:r>
      <w:r>
        <w:t>APREAL-Gruppe zeigte signifikant höhere Werte für Sturzwissen (F=27,41; p&lt;0,001; η²=0,287), Selbstwirksamkeit (F=32,85; p&lt;0,001; η²=0,326) und Sturzpräventionsverhalten (F=93,14; p&lt;0,001; η²=0,578). Die Sturzrate war auf der Interventionsstation numerisch niedriger (0,0 vs. 2,3 pro 1.000 Patiententage), ohne statistische Kontrolle.</w:t>
      </w:r>
    </w:p>
    <w:p>
      <w:r>
        <w:rPr>
          <w:b/>
          <w:sz w:val="19"/>
        </w:rPr>
        <w:t xml:space="preserve">Übertragbarkeit: </w:t>
      </w:r>
      <w:r>
        <w:rPr>
          <w:sz w:val="19"/>
        </w:rPr>
        <w:t>Südkorea mit vergleichbarem Versorgungsmodell; Sicherheitsbefund zur Schulungseffektivität übertragbar.</w:t>
      </w:r>
    </w:p>
    <w:p>
      <w:r>
        <w:rPr>
          <w:color w:val="5A7D3A"/>
          <w:sz w:val="18"/>
        </w:rPr>
        <w:t>https://pubmed.ncbi.nlm.nih.gov/42919133/</w:t>
      </w:r>
    </w:p>
    <w:p>
      <w:pPr>
        <w:pStyle w:val="Heading2"/>
      </w:pPr>
      <w:r>
        <w:t>Informationsquellen und Selbstwirksamkeit: was pflegenden Angehörigen in der Demenzbetreuung hilft</w:t>
      </w:r>
    </w:p>
    <w:p>
      <w:r>
        <w:rPr>
          <w:i/>
          <w:color w:val="666666"/>
          <w:sz w:val="18"/>
        </w:rPr>
        <w:t>Goh YL et al.  ·  BMC Geriatr  ·  28.07.2026  ·  PMID 42919127</w:t>
      </w:r>
    </w:p>
    <w:p>
      <w:r>
        <w:t>Querschnittstudie an 258 pflegenden Angehörigen von Demenzpatienten in Malaysia, die untersuchte, wie Demenzwissen, eHealth-Literalität und Informationsquellen deren Selbstwirksamkeit beeinflussen.</w:t>
      </w:r>
    </w:p>
    <w:p>
      <w:r>
        <w:rPr>
          <w:b/>
        </w:rPr>
        <w:t xml:space="preserve">Ergebnis: </w:t>
      </w:r>
      <w:r>
        <w:t>Multiple Informationsquellen erhöhten Selbstwirksamkeit signifikant (erklärte Varianz von 6,7% auf 12,6%; p&lt;0,05). Schriftliche Materialien und ärztliche Beratung stärkten Vertrauen; Facebook und Selbsthilfegruppen verminderten Selbstwirksamkeit. Ländliche Angehörige fühlten sich weniger sicher bei Entlastungsangeboten; Verheiratete hatten weniger Schwierigkeiten mit Verhaltensproblemen.</w:t>
      </w:r>
    </w:p>
    <w:p>
      <w:r>
        <w:rPr>
          <w:b/>
          <w:sz w:val="19"/>
        </w:rPr>
        <w:t xml:space="preserve">Übertragbarkeit: </w:t>
      </w:r>
      <w:r>
        <w:rPr>
          <w:sz w:val="19"/>
        </w:rPr>
        <w:t>Malaysia, aber Muster zu Informationseffekten auf Angehörigenbelastung international relevant.</w:t>
      </w:r>
    </w:p>
    <w:p>
      <w:r>
        <w:rPr>
          <w:color w:val="5A7D3A"/>
          <w:sz w:val="18"/>
        </w:rPr>
        <w:t>https://pubmed.ncbi.nlm.nih.gov/42919127/</w:t>
      </w:r>
    </w:p>
    <w:p>
      <w:pPr>
        <w:pStyle w:val="Heading2"/>
      </w:pPr>
      <w:r>
        <w:t>Mütterliche Sterblichkeit: Schulung von Pflegefachpersonen verbessert Meldepraxis und Ermittlungen</w:t>
      </w:r>
    </w:p>
    <w:p>
      <w:r>
        <w:rPr>
          <w:i/>
          <w:color w:val="666666"/>
          <w:sz w:val="18"/>
        </w:rPr>
        <w:t>Pereira NAPG et al.  ·  Rev Lat Am Enfermagem  ·  16.10.2026  ·  PMID 42912033</w:t>
      </w:r>
    </w:p>
    <w:p>
      <w:r>
        <w:t>Epidemiologische Studie mit 143 Pflegefachpersonen aus dem Primärbereich in Brasilien zu Faktoren, die ihre Beteiligung an Überwachung mütterlicher Todesfälle beeinflussen.</w:t>
      </w:r>
    </w:p>
    <w:p>
      <w:r>
        <w:rPr>
          <w:b/>
        </w:rPr>
        <w:t xml:space="preserve">Ergebnis: </w:t>
      </w:r>
      <w:r>
        <w:t>Pflegefachpersonen mit Schulung zeigten signifikant höhere Chancen, Untersuchungsverfahren durchzuführen und an Meetings der Müttersterblichkeitskommission teilzunehmen (OR=5,82; 95%-KI: 2,46–13,75). Schulung war mit Kenntnis der Ziele des Komitees und deren Umsetzung assoziiert. Zeit in der Stelle korrelierte mit Schulungsteilnahme und Untersuchungspraxis.</w:t>
      </w:r>
    </w:p>
    <w:p>
      <w:r>
        <w:rPr>
          <w:b/>
          <w:sz w:val="19"/>
        </w:rPr>
        <w:t xml:space="preserve">Übertragbarkeit: </w:t>
      </w:r>
      <w:r>
        <w:rPr>
          <w:sz w:val="19"/>
        </w:rPr>
        <w:t>Brasilien, aber Effekt von Schulung auf Versorgungspraxis in multiprofessionalen Settings übertragbar.</w:t>
      </w:r>
    </w:p>
    <w:p>
      <w:r>
        <w:rPr>
          <w:color w:val="5A7D3A"/>
          <w:sz w:val="18"/>
        </w:rPr>
        <w:t>https://pubmed.ncbi.nlm.nih.gov/42912033/</w:t>
      </w:r>
    </w:p>
    <w:p>
      <w:pPr>
        <w:pStyle w:val="Heading2"/>
      </w:pPr>
      <w:r>
        <w:t>Pflege für transgender Frauen: Barrieren, Schulungsbedarf und inklusive Praktiken</w:t>
      </w:r>
    </w:p>
    <w:p>
      <w:r>
        <w:rPr>
          <w:i/>
          <w:color w:val="666666"/>
          <w:sz w:val="18"/>
        </w:rPr>
        <w:t>Vila Nova PVR et al.  ·  Rev Lat Am Enfermagem  ·  16.10.2026  ·  PMID 42912031</w:t>
      </w:r>
    </w:p>
    <w:p>
      <w:r>
        <w:t>Qualitative Studie mit 94 Pflegefachpersonen aus dem Primärbereich in ganz Brasilien zur Versorgung transgender Frauen nach Leininger's Theorie der transkulturellem Pflege.</w:t>
      </w:r>
    </w:p>
    <w:p>
      <w:r>
        <w:rPr>
          <w:b/>
        </w:rPr>
        <w:t xml:space="preserve">Ergebnis: </w:t>
      </w:r>
      <w:r>
        <w:t>Vier Themenbereiche: Herausforderungen und Barrieren (Vorurteile, Zugänglichkeit); wesentliche Handlungen und Versorgung; Einbeziehung und Respekt; Rolle von Pflegefachpersonen und Gemeindegesundheitsarbeitern. Mehrheit der Pflegefachpersonen hatte keine spezifische Schulung oder Protokolle für diese Bevölkerungsgruppe. Initiativen für Willkommenskultur und Gemeindegesundheitsarbeit wurden identifiziert.</w:t>
      </w:r>
    </w:p>
    <w:p>
      <w:r>
        <w:rPr>
          <w:b/>
          <w:sz w:val="19"/>
        </w:rPr>
        <w:t xml:space="preserve">Übertragbarkeit: </w:t>
      </w:r>
      <w:r>
        <w:rPr>
          <w:sz w:val="19"/>
        </w:rPr>
        <w:t>Brasilien, qualitatives Muster zu Schulungs- und Protokolldefiziten für spezialisierte Versorgung international relevant.</w:t>
      </w:r>
    </w:p>
    <w:p>
      <w:r>
        <w:rPr>
          <w:color w:val="5A7D3A"/>
          <w:sz w:val="18"/>
        </w:rPr>
        <w:t>https://pubmed.ncbi.nlm.nih.gov/42912031/</w:t>
      </w:r>
    </w:p>
    <w:p>
      <w:pPr>
        <w:pStyle w:val="Heading2"/>
      </w:pPr>
      <w:r>
        <w:t>Aktives Altern: wer profitiert? Übergänge pflegender älterer Menschen zwischen Pflege und Freiwilligenarbeit</w:t>
      </w:r>
    </w:p>
    <w:p>
      <w:r>
        <w:rPr>
          <w:i/>
          <w:color w:val="666666"/>
          <w:sz w:val="18"/>
        </w:rPr>
        <w:t>Cretazzo F et al.  ·  Front Public Health  ·  07.10.2026  ·  PMID 42909995</w:t>
      </w:r>
    </w:p>
    <w:p>
      <w:r>
        <w:t>Längsschnittanalyse von SHARE-Wellen 7–9 zur Untersuchung, wie Übergänge älterer Europäer in und aus der Rolle des ‚Super-Helpers' (gleichzeitig pflegend und freiwillig tätig) mit Gesundheitsergebnissen assoziiert sind.</w:t>
      </w:r>
    </w:p>
    <w:p>
      <w:r>
        <w:rPr>
          <w:b/>
        </w:rPr>
        <w:t xml:space="preserve">Ergebnis: </w:t>
      </w:r>
      <w:r>
        <w:t>Übergänge von alleiniger Pflege zu Super-Helper-Rolle verbesserten Gesundheitsmerkmale; Übergänge von Freiwilligenarbeit zu Super-Helper-Rolle verschlechterten sie. Übergänge von Super-Helper zu alleiniger Freiwilligenarbeit waren kurzfristig mit schlechterer Selbstwahrnehmung und depressiven Symptomen assoziiert (besonders bei früheren Co-Wohner-Pflegenden). Respite-Care zeigte schützende Effekte gegen Überbelastung.</w:t>
      </w:r>
    </w:p>
    <w:p>
      <w:r>
        <w:rPr>
          <w:b/>
          <w:sz w:val="19"/>
        </w:rPr>
        <w:t xml:space="preserve">Übertragbarkeit: </w:t>
      </w:r>
      <w:r>
        <w:rPr>
          <w:sz w:val="19"/>
        </w:rPr>
        <w:t>Europa (SHARE-Survey); Muster zu Pflegebelastung und Übergängen in Rollen für deutschsprachigen Raum relevant.</w:t>
      </w:r>
    </w:p>
    <w:p>
      <w:r>
        <w:rPr>
          <w:color w:val="5A7D3A"/>
          <w:sz w:val="18"/>
        </w:rPr>
        <w:t>https://pubmed.ncbi.nlm.nih.gov/42909995/</w:t>
      </w:r>
    </w:p>
    <w:p>
      <w:pPr>
        <w:pStyle w:val="Heading2"/>
      </w:pPr>
      <w:r>
        <w:t>Rehabilitative Pflege im Heim: Funktionsfähigkeit, Lebensqualität und Rückkehrerfolg in Deutschland</w:t>
      </w:r>
    </w:p>
    <w:p>
      <w:r>
        <w:rPr>
          <w:i/>
          <w:color w:val="666666"/>
          <w:sz w:val="18"/>
        </w:rPr>
        <w:t>Gierke F et al.  ·  Z Gerontol Geriatr  ·  02.10.2026  ·  PMID 42825944</w:t>
      </w:r>
    </w:p>
    <w:p>
      <w:r>
        <w:t>Prospektive Einarm-Studie mit 67 Bewohnern aus drei deutschen Heimen zur Wirkung eines strukturierten rehabilitativen Aktivierungsansatzes auf funktionelle Selbstständigkeit, Gesundheit und Rückkehr nach Hause.</w:t>
      </w:r>
    </w:p>
    <w:p>
      <w:r>
        <w:rPr>
          <w:b/>
        </w:rPr>
        <w:t xml:space="preserve">Ergebnis: </w:t>
      </w:r>
      <w:r>
        <w:t>Allgemeine Gesundheitswahrnehmung zeigte signifikanten Zeiteffekt (p=0,023). SF-36 zeigt signifikante Verbesserungen bei körperlicher Funktionsfähigkeit, sozialer Funktionsfähigkeit, psychischem Wohlbefinden (alle p&lt;0,05). 32,8% der Patienten (n=22) kehrten innerhalb von 6 Monaten nach Hause zurück. Funktionelle Unabhängigkeit erhöhte sich deskriptiv, aber nicht signifikant (p=0,306).</w:t>
      </w:r>
    </w:p>
    <w:p>
      <w:r>
        <w:rPr>
          <w:b/>
          <w:sz w:val="19"/>
        </w:rPr>
        <w:t xml:space="preserve">Übertragbarkeit: </w:t>
      </w:r>
      <w:r>
        <w:rPr>
          <w:sz w:val="19"/>
        </w:rPr>
        <w:t>Deutschland; Daten aus deutschen Pflegeheimen mit direkter Anwendbarkeit.</w:t>
      </w:r>
    </w:p>
    <w:p>
      <w:r>
        <w:rPr>
          <w:color w:val="5A7D3A"/>
          <w:sz w:val="18"/>
        </w:rPr>
        <w:t>https://pubmed.ncbi.nlm.nih.gov/42825944/</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