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31.10.2026  |  5 Studien  |  pflege.m-vf.de</w:t>
      </w:r>
    </w:p>
    <w:p>
      <w:pPr>
        <w:pStyle w:val="Heading1"/>
      </w:pPr>
      <w:r>
        <w:t>Aufgenommen am 31.10.2026</w:t>
      </w:r>
    </w:p>
    <w:p>
      <w:pPr>
        <w:pStyle w:val="Heading2"/>
      </w:pPr>
      <w:r>
        <w:t>Aortenklappe-Implantation und Pflegebedarf: Kostensteigerung bei höheren Ausgangsgrades</w:t>
      </w:r>
    </w:p>
    <w:p>
      <w:r>
        <w:rPr>
          <w:i/>
          <w:color w:val="666666"/>
          <w:sz w:val="18"/>
        </w:rPr>
        <w:t>Sassa T et al.  ·  Geriatr Gerontol Int  ·  Nov. 2026  ·  PMID 42963183</w:t>
      </w:r>
    </w:p>
    <w:p>
      <w:r>
        <w:t>Retrospektive Kohortenstudie japanischer Patienten ≥75 Jahre (n=1361) mit Langzeitpflege-Versicherungsdaten zur Pflegebedürftigkeit nach Transkatheter-Aortenklappenimplantation.</w:t>
      </w:r>
    </w:p>
    <w:p>
      <w:r>
        <w:rPr>
          <w:b/>
        </w:rPr>
        <w:t xml:space="preserve">Ergebnis: </w:t>
      </w:r>
      <w:r>
        <w:t>Von 532 Patienten (36-Monate-Kohorte): 53 % waren bei Baseline unabhängig, ca. die Hälfte blieb unabhängig. Monatliche Kosten 36 Monate post-TAVI im Hochpflege-Niveau (Level 3–5) 5× höher als bei Unabhängigen. Hazard Ratio für Mortalität 3,19 (95%-KI 2,18–4,67) in Hochpflege-Gruppe.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 mit Pflegeversicherungs-Teilkasko-System wie Deutschland; Kostenanalysen und Pflegegradentwicklung übertragbar</w:t>
      </w:r>
    </w:p>
    <w:p>
      <w:r>
        <w:rPr>
          <w:color w:val="5A7D3A"/>
          <w:sz w:val="18"/>
        </w:rPr>
        <w:t>https://pubmed.ncbi.nlm.nih.gov/42963183/</w:t>
      </w:r>
    </w:p>
    <w:p>
      <w:pPr>
        <w:pStyle w:val="Heading2"/>
      </w:pPr>
      <w:r>
        <w:t>COVID-19-Maßnahmen in Krankenhäusern: Belastung für ältere Patienten, Angehörige und Personal</w:t>
      </w:r>
    </w:p>
    <w:p>
      <w:r>
        <w:rPr>
          <w:i/>
          <w:color w:val="666666"/>
          <w:sz w:val="18"/>
        </w:rPr>
        <w:t>Denninger NE et al.  ·  Geriatr Nurs  ·  25.10.2025  ·  PMID 42960389</w:t>
      </w:r>
    </w:p>
    <w:p>
      <w:r>
        <w:t>Qualitative Sekundäranalyse deutscher Klinikdaten zur Auswirkung pandemischer Schutzmaßnahmen auf Versorgungsqualität und Mitarbeiterlast.</w:t>
      </w:r>
    </w:p>
    <w:p>
      <w:r>
        <w:rPr>
          <w:b/>
        </w:rPr>
        <w:t xml:space="preserve">Ergebnis: </w:t>
      </w:r>
      <w:r>
        <w:t>Sieben Themenbereiche identifiziert: strukturelle Veränderungen, veränderte Pflegepraktiken, Personalbelastung, eingeschränkte Besuchsregelungen, reduzierte soziale Kontakte post-Entlassung. Während Maßnahmen sicherheitsrelevant waren, erhöhten sie die Pflegenlast erheblich und beeinträchtigten die Patientenbetreuung sowie soziale Interaktion.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Universitätskliniken Heidelberg und Ulm; vergleichbar mit deutschem Versorgungssystem</w:t>
      </w:r>
    </w:p>
    <w:p>
      <w:r>
        <w:rPr>
          <w:color w:val="5A7D3A"/>
          <w:sz w:val="18"/>
        </w:rPr>
        <w:t>https://pubmed.ncbi.nlm.nih.gov/42960389/</w:t>
      </w:r>
    </w:p>
    <w:p>
      <w:pPr>
        <w:pStyle w:val="Heading2"/>
      </w:pPr>
      <w:r>
        <w:t>Übergänge aus Intensivstationen: Was Pflegende zur Unterstützung brauchen</w:t>
      </w:r>
    </w:p>
    <w:p>
      <w:r>
        <w:rPr>
          <w:i/>
          <w:color w:val="666666"/>
          <w:sz w:val="18"/>
        </w:rPr>
        <w:t>Ge S et al.  ·  Nurs Crit Care  ·  Nov. 2026  ·  PMID 42958903</w:t>
      </w:r>
    </w:p>
    <w:p>
      <w:r>
        <w:t>Metasynthese von 13 qualitativen Studien (CNKI, Wanfang, Cochrane, PubMed, Web of Science, CINAHL, Embase bis Juni 2025) zu Erfahrungen und Bedarfen des Pflegepersonals bei ICU-Übergängen.</w:t>
      </w:r>
    </w:p>
    <w:p>
      <w:r>
        <w:rPr>
          <w:b/>
        </w:rPr>
        <w:t xml:space="preserve">Ergebnis: </w:t>
      </w:r>
      <w:r>
        <w:t>Vier synthesisierte Findings: praktische Herausforderungen während Übergängen, Wahrnehmungen und Einstellungen zur Transitional Care, Unterstützungsbedarfe (psychologische Unterstützung, Schulung, klare Kommunikation), Empfehlungen (ICU-Liaison-Pflegende, standardisierte Übergangsprotokolle, effektive Kommunikationsmodelle, organisationale Strukturanpassungen).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kulturübergreifende Befunde zu Pflegepersonalbelastung und Organisationsmanagement; auf deutsches Klinik-Transitionsmanagement übertragbar</w:t>
      </w:r>
    </w:p>
    <w:p>
      <w:r>
        <w:rPr>
          <w:color w:val="5A7D3A"/>
          <w:sz w:val="18"/>
        </w:rPr>
        <w:t>https://pubmed.ncbi.nlm.nih.gov/42958903/</w:t>
      </w:r>
    </w:p>
    <w:p>
      <w:pPr>
        <w:pStyle w:val="Heading2"/>
      </w:pPr>
      <w:r>
        <w:t>AI-gestützte Schlaganfall-Rehabilitation: Was Patienten, Angehörige und Fachpersonen brauchen</w:t>
      </w:r>
    </w:p>
    <w:p>
      <w:r>
        <w:rPr>
          <w:i/>
          <w:color w:val="666666"/>
          <w:sz w:val="18"/>
        </w:rPr>
        <w:t>Abi Saab P et al.  ·  Health Expect  ·  Dez. 2026  ·  PMID 42958746</w:t>
      </w:r>
    </w:p>
    <w:p>
      <w:r>
        <w:t>Fokusgruppen in vier europäischen Ländern zu Akzeptanz einer KI-basierten Telerehabilitations-Plattform für Schlaganfall-Patienten.</w:t>
      </w:r>
    </w:p>
    <w:p>
      <w:r>
        <w:rPr>
          <w:b/>
        </w:rPr>
        <w:t xml:space="preserve">Ergebnis: </w:t>
      </w:r>
      <w:r>
        <w:t>71 Teilnehmende (27 Patienten, 17 Angehörige, 27 Fachpersonen). System Usability Scale: Gesamtscore 68,1 ± 16,0. Patienten bewerteten Benutzeroberfläche niedriger (58,9 vs. 75,6; p = 0,002). Hybridmodell mit klinischer Überwachung bevorzugt; autonome Heimnutzung unrealistisch ohne Unterstützung.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Italien, Frankreich, Rumänien; europäische Versorgungsstrukturen ähnlich Deutschland</w:t>
      </w:r>
    </w:p>
    <w:p>
      <w:r>
        <w:rPr>
          <w:color w:val="5A7D3A"/>
          <w:sz w:val="18"/>
        </w:rPr>
        <w:t>https://pubmed.ncbi.nlm.nih.gov/42958746/</w:t>
      </w:r>
    </w:p>
    <w:p>
      <w:pPr>
        <w:pStyle w:val="Heading2"/>
      </w:pPr>
      <w:r>
        <w:t>Häusliche Krebsbehandlung: Perspektiven von Pflegenden und Ärzten zur Machbarkeit</w:t>
      </w:r>
    </w:p>
    <w:p>
      <w:r>
        <w:rPr>
          <w:i/>
          <w:color w:val="666666"/>
          <w:sz w:val="18"/>
        </w:rPr>
        <w:t>Bødtcher H et al.  ·  Support Care Cancer  ·  29.10.2026  ·  PMID 42957898</w:t>
      </w:r>
    </w:p>
    <w:p>
      <w:r>
        <w:t>Qualitative Studie mit 22 Fachpersonen (12 Pflegende, 10 Ärzte) aus dänischen Universitätskliniken zu Hemmnissen und Chancen der ambulanten Krebstherapie.</w:t>
      </w:r>
    </w:p>
    <w:p>
      <w:r>
        <w:rPr>
          <w:b/>
        </w:rPr>
        <w:t xml:space="preserve">Ergebnis: </w:t>
      </w:r>
      <w:r>
        <w:t>Fünf Themenbereiche: klinische Intuition leitet Entscheidungen, Balance zwischen Patientenautonomie und reduziertem Kontakt, Schulung essentiell für sichere Selbstbehandlung, verbesserte Sektor-Zusammenarbeit und Standardisierung nötig, Organisationskultur als Treiber. Nationale Richtlinien und systematische Überwachung als unverzichtbar.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europäisches Versorgungssystem; Transfer auf Hemofili-Zentren und onkologische Ambulanzen</w:t>
      </w:r>
    </w:p>
    <w:p>
      <w:r>
        <w:rPr>
          <w:color w:val="5A7D3A"/>
          <w:sz w:val="18"/>
        </w:rPr>
        <w:t>https://pubmed.ncbi.nlm.nih.gov/42957898/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2026-10-31T06:00:00Z</dcterms:created>
  <dcterms:modified xsi:type="dcterms:W3CDTF">2026-10-31T06:00:00Z</dcterms:modified>
  <cp:category/>
</cp:coreProperties>
</file>