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08.09.2026  |  6 Studien  |  pflege.m-vf.de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Hospital-at-Home in Skandinavien: Organisationsformen für akut somatisch Erkrankte</w:t>
      </w:r>
    </w:p>
    <w:p>
      <w:r>
        <w:rPr>
          <w:i/>
          <w:color w:val="666666"/>
          <w:sz w:val="18"/>
        </w:rPr>
        <w:t>Hansen KK et al.  ·  Scand J Caring Sci  ·  Sept. 2026  ·  PMID 42704143</w:t>
      </w:r>
    </w:p>
    <w:p>
      <w:r>
        <w:t>Scoping Review (10 Studien) zu Organisationsstrukturen und Interventionen von Hospital-at-Home-Programmen in Dänemark, Norwegen und Schweden für akute Erkrankungen.</w:t>
      </w:r>
    </w:p>
    <w:p>
      <w:r>
        <w:rPr>
          <w:b/>
        </w:rPr>
        <w:t xml:space="preserve">Ergebnis: </w:t>
      </w:r>
      <w:r>
        <w:t>Drei primäre Modelle identifiziert: (1) Kommunale acute nursing teams mit niedergelassenen Ärzten, (2) ED-Teams mit mobiler akuter Versorgung, (3) Spezialisierte Einheiten mit virtuellen und In-Person-Leistungen. Interventionen: IV-Therapie, Point-of-Care-Diagnostik, Monitoring, digitale Konsultationen.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Sozialsysteme – Organisationsstruktur bestimmt Qualität und Skalierbarkeit.</w:t>
      </w:r>
    </w:p>
    <w:p>
      <w:r>
        <w:rPr>
          <w:color w:val="5A7D3A"/>
          <w:sz w:val="18"/>
        </w:rPr>
        <w:t>https://pubmed.ncbi.nlm.nih.gov/42704143/</w:t>
      </w:r>
    </w:p>
    <w:p>
      <w:pPr>
        <w:pStyle w:val="Heading2"/>
      </w:pPr>
      <w:r>
        <w:t>Persönliche Schutzausrüstung bei Chemotherapie: Einflussfaktoren auf Compliance bei Pflegepersonal</w:t>
      </w:r>
    </w:p>
    <w:p>
      <w:r>
        <w:rPr>
          <w:i/>
          <w:color w:val="666666"/>
          <w:sz w:val="18"/>
        </w:rPr>
        <w:t>Zheng Y et al.  ·  J Nurs Manag  ·  2026  ·  PMID 42704108</w:t>
      </w:r>
    </w:p>
    <w:p>
      <w:r>
        <w:t>Querschnittstudie (n=478) zur Nutzung von Persönlicher Schutzausrüstung (PSA) bei Handhabung von Zytostatika und Einflussfaktoren auf deren Einhaltung in chinesischen Krebskliniken.</w:t>
      </w:r>
    </w:p>
    <w:p>
      <w:r>
        <w:rPr>
          <w:b/>
        </w:rPr>
        <w:t xml:space="preserve">Ergebnis: </w:t>
      </w:r>
      <w:r>
        <w:t>Direkte Einflussfaktoren auf PSA-Nutzung: zwischenmenschliche Einflüsse, Arbeitsplatzicherheit, Selbstwirksamkeit (p&lt;0,001). Selbstwirksamkeit und Risikobewusstsein vermittelten Effekt von Erfahrung auf PSA-Einsatz; Barrieren und Konflikte reduzierten den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systematische Medikamentosicherheit – Modell zur Multilevel-Intervention für globale Relevanz.</w:t>
      </w:r>
    </w:p>
    <w:p>
      <w:r>
        <w:rPr>
          <w:color w:val="5A7D3A"/>
          <w:sz w:val="18"/>
        </w:rPr>
        <w:t>https://pubmed.ncbi.nlm.nih.gov/42704108/</w:t>
      </w:r>
    </w:p>
    <w:p>
      <w:pPr>
        <w:pStyle w:val="Heading2"/>
      </w:pPr>
      <w:r>
        <w:t>Pflegekräfte und Muskelskelettverletzungen: Organisatorische Unterstützung und Verbleib im Beruf</w:t>
      </w:r>
    </w:p>
    <w:p>
      <w:r>
        <w:rPr>
          <w:i/>
          <w:color w:val="666666"/>
          <w:sz w:val="18"/>
        </w:rPr>
        <w:t>Sunzi K et al.  ·  Nurs Open  ·  Sept. 2026  ·  PMID 42703757</w:t>
      </w:r>
    </w:p>
    <w:p>
      <w:r>
        <w:t>Qualitative Studie zu Erfahrungen chinesischer Pflegekräfte mit Haltungsschäden in Arbeit (WMSD) und deren Wahrnehmung organisatorischer Unterstützung durch Arbeitgeber.</w:t>
      </w:r>
    </w:p>
    <w:p>
      <w:r>
        <w:rPr>
          <w:b/>
        </w:rPr>
        <w:t xml:space="preserve">Ergebnis: </w:t>
      </w:r>
      <w:r>
        <w:t>Pflegekräfte berichteten von fragmentierter, reaktiver Unterstützung: Formale Verfahren scheiterten, persönliche Netzwerke wurden entscheidend. Mangelnde Unterstützung reduzierte Loyalität und erhöhte Kündigungsabsichten deutlich; Berufsidentität wurde destabilisiert.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Tertiärspitäler – Befunde zu Organisationsversagen sind übertragbar, strukturierte Rückkehrprogramme fehlen weltweit.</w:t>
      </w:r>
    </w:p>
    <w:p>
      <w:r>
        <w:rPr>
          <w:color w:val="5A7D3A"/>
          <w:sz w:val="18"/>
        </w:rPr>
        <w:t>https://pubmed.ncbi.nlm.nih.gov/42703757/</w:t>
      </w:r>
    </w:p>
    <w:p>
      <w:pPr>
        <w:pStyle w:val="Heading2"/>
      </w:pPr>
      <w:r>
        <w:t>Burnout bei Intensivpflegekräften: Personalquotient und Jobzufriedenheit in Oman</w:t>
      </w:r>
    </w:p>
    <w:p>
      <w:r>
        <w:rPr>
          <w:i/>
          <w:color w:val="666666"/>
          <w:sz w:val="18"/>
        </w:rPr>
        <w:t>Al Shereiqi R et al.  ·  J Nurs Manag  ·  2026  ·  PMID 42703684</w:t>
      </w:r>
    </w:p>
    <w:p>
      <w:r>
        <w:t>Querschnittsstudie (n=150) an Intensivstationen eines regionalen Krankenhauses in Oman zu Burnout-Dimensionen, Personalquotient und Jobzufriedenheit.</w:t>
      </w:r>
    </w:p>
    <w:p>
      <w:r>
        <w:rPr>
          <w:b/>
        </w:rPr>
        <w:t xml:space="preserve">Ergebnis: </w:t>
      </w:r>
      <w:r>
        <w:t>Moderates Burnout (M=2,90±0,78), ambivalente Jobzufriedenheit (M=3,62±0,57). Burnout negativ korreliert mit Jobzufriedenheit (r=-0,40, p&lt;0,001). Emotionale Erschöpfung mediierte vollständig den Link zwischen Personalquotient und Jobzufriedenheit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Oman, Personalbelastung schädigt direkt Zufriedenheit – Bettenquoten sind universelle Stellschraube.</w:t>
      </w:r>
    </w:p>
    <w:p>
      <w:r>
        <w:rPr>
          <w:color w:val="5A7D3A"/>
          <w:sz w:val="18"/>
        </w:rPr>
        <w:t>https://pubmed.ncbi.nlm.nih.gov/42703684/</w:t>
      </w:r>
    </w:p>
    <w:p>
      <w:pPr>
        <w:pStyle w:val="Heading2"/>
      </w:pPr>
      <w:r>
        <w:t>Schlafmangel und Fatigue bei Perianästhesiepflegekräften: Risiko für Medikationsfehler</w:t>
      </w:r>
    </w:p>
    <w:p>
      <w:r>
        <w:rPr>
          <w:i/>
          <w:color w:val="666666"/>
          <w:sz w:val="18"/>
        </w:rPr>
        <w:t>Kang Y et al.  ·  Int Nurs Rev  ·  Sept. 2026  ·  PMID 42702909</w:t>
      </w:r>
    </w:p>
    <w:p>
      <w:r>
        <w:t>Querschnittsbefragung (n=213) südkoreanischer Perianästhesiepflegekräfte zu Schlafstörungen, Erschöpfung, Überzeit und selbstberichteten Medikationsfehlern.</w:t>
      </w:r>
    </w:p>
    <w:p>
      <w:r>
        <w:rPr>
          <w:b/>
        </w:rPr>
        <w:t xml:space="preserve">Ergebnis: </w:t>
      </w:r>
      <w:r>
        <w:t>Klinisch signifikante Schlaflosigkeit bei 25% der Pflegekräfte, Erschöpfung bei zwei Drittel, Überzeit bei 80%. Schlafstörungen (p&lt;0,001) und Erschöpfung (p&lt;0,001) waren unabhängig assoziiert mit höherer Fehlerrate; Überzeit zeigte keine signifikante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Hochrisiko-Versorgungssetting – schlaffördernde Maßnahmen als Sicherheitsinvestition.</w:t>
      </w:r>
    </w:p>
    <w:p>
      <w:r>
        <w:rPr>
          <w:color w:val="5A7D3A"/>
          <w:sz w:val="18"/>
        </w:rPr>
        <w:t>https://pubmed.ncbi.nlm.nih.gov/42702909/</w:t>
      </w:r>
    </w:p>
    <w:p>
      <w:pPr>
        <w:pStyle w:val="Heading2"/>
      </w:pPr>
      <w:r>
        <w:t>Mobbing in Notaufnahmen: Psychische Belastung und Arbeitsstressoren bei Pflegekräften</w:t>
      </w:r>
    </w:p>
    <w:p>
      <w:r>
        <w:rPr>
          <w:i/>
          <w:color w:val="666666"/>
          <w:sz w:val="18"/>
        </w:rPr>
        <w:t>Rahmatpour P et al.  ·  Nurs Health Sci  ·  Sept. 2026  ·  PMID 42702722</w:t>
      </w:r>
    </w:p>
    <w:p>
      <w:r>
        <w:t>Querschnittsstudie (n=228) iranischer Notaufnahmepflegekräfte zu Mobbing-Häufigkeit, psychischer Belastung und Berufsstressoren.</w:t>
      </w:r>
    </w:p>
    <w:p>
      <w:r>
        <w:rPr>
          <w:b/>
        </w:rPr>
        <w:t xml:space="preserve">Ergebnis: </w:t>
      </w:r>
      <w:r>
        <w:t>Pflegekräfte mit höherem Mobbing-Exposure berichteten signifikant mehr psychische Belastung (p=0,007) und Berufsstress (p=0,014). Mobbing blieb nach Adjustment für Demografie unabhängiger Prädiktor: β=0,29 für Stress, β=0,26 für Belastung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Iran, universelles Mobbing-Phänomen – Anti-Gewalt-Strategien und sichere Meldesysteme essenziell.</w:t>
      </w:r>
    </w:p>
    <w:p>
      <w:r>
        <w:rPr>
          <w:color w:val="5A7D3A"/>
          <w:sz w:val="18"/>
        </w:rPr>
        <w:t>https://pubmed.ncbi.nlm.nih.gov/42702722/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