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20.09.2026  |  5 Studien  |  pflege.m-vf.de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Workplace-Health-Förderung in der Langzeitpflege: Barrieren und Erfolgsfaktoren bei der Umsetzung</w:t>
      </w:r>
    </w:p>
    <w:p>
      <w:r>
        <w:rPr>
          <w:i/>
          <w:color w:val="666666"/>
          <w:sz w:val="18"/>
        </w:rPr>
        <w:t>Czakert J et al.  ·  Front Public Health  ·  04.09.2026  ·  PMID 42761123</w:t>
      </w:r>
    </w:p>
    <w:p>
      <w:r>
        <w:t>Qualitative Evaluierung der Entwicklung und Implementierung von drei Gesundheitsförderungsworkshops in Langzeitpflegeeinrichtungen in Deutschland mit Fokus auf Hindernisse und Gelingensbedingungen.</w:t>
      </w:r>
    </w:p>
    <w:p>
      <w:r>
        <w:rPr>
          <w:b/>
        </w:rPr>
        <w:t xml:space="preserve">Ergebnis: </w:t>
      </w:r>
      <w:r>
        <w:t>Aktive Teilnahme war zentral: Ein Drittel der Teilnehmenden zeigte aktive Beteiligung, andere Passivität bis Widerstand. Kritische Erfolgsfaktoren waren organisatorische Vorbereitung und motivierende Workshop-Gestaltung; Anpassungen nach der ersten Runde führten zu verbesserter 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(Charité Berlin), Langzeitpflegeeinrichtungen als Setting</w:t>
      </w:r>
    </w:p>
    <w:p>
      <w:r>
        <w:rPr>
          <w:color w:val="5A7D3A"/>
          <w:sz w:val="18"/>
        </w:rPr>
        <w:t>https://pubmed.ncbi.nlm.nih.gov/42761123/</w:t>
      </w:r>
    </w:p>
    <w:p>
      <w:pPr>
        <w:pStyle w:val="Heading2"/>
      </w:pPr>
      <w:r>
        <w:t>Berufliche Zufriedenheit von Pflegekräften im OP-Dienst: Rolle von Organisationsunterstützung und psychischem Kapital</w:t>
      </w:r>
    </w:p>
    <w:p>
      <w:r>
        <w:rPr>
          <w:i/>
          <w:color w:val="666666"/>
          <w:sz w:val="18"/>
        </w:rPr>
        <w:t>Wang Y et al.  ·  Front Public Health  ·  04.09.2026  ·  PMID 42761087</w:t>
      </w:r>
    </w:p>
    <w:p>
      <w:r>
        <w:t>Querschnittstudie bei 401 Pflegekräften in Operationsabteilungen (CSSD) in China zur Untersuchung indirekter Effekte von wahrgenommener Organisationsunterstützung und psychologischem Kapital auf den Zusammenhang zwischen Jobgestaltung und beruflicher Wohlbefindung.</w:t>
      </w:r>
    </w:p>
    <w:p>
      <w:r>
        <w:rPr>
          <w:b/>
        </w:rPr>
        <w:t xml:space="preserve">Ergebnis: </w:t>
      </w:r>
      <w:r>
        <w:t>Pfadanalyse zeigte schwachen direkten Effekt von Jobgestaltung auf Wohlbefindung (β=0,185), aber erhebliche Gesamteffekt (0,838). Indirekte Assoziationen über Organisationsunterstützung (β=0,511) und psychisches Kapital (β=0,142) waren statistisch signifikant (p&lt;0,001). Frauen und erfahrene Pflegekräfte berichteten niedrigere Wohlbefindungswerte.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Befunde zum psychosozialen Kontext der Pflegekräfte gelten universell</w:t>
      </w:r>
    </w:p>
    <w:p>
      <w:r>
        <w:rPr>
          <w:color w:val="5A7D3A"/>
          <w:sz w:val="18"/>
        </w:rPr>
        <w:t>https://pubmed.ncbi.nlm.nih.gov/42761087/</w:t>
      </w:r>
    </w:p>
    <w:p>
      <w:pPr>
        <w:pStyle w:val="Heading2"/>
      </w:pPr>
      <w:r>
        <w:t>Doppelspitze in Pflegeheimen: Neue Führungsstruktur verbessert Rollen und Zufriedenheit</w:t>
      </w:r>
    </w:p>
    <w:p>
      <w:r>
        <w:rPr>
          <w:i/>
          <w:color w:val="666666"/>
          <w:sz w:val="18"/>
        </w:rPr>
        <w:t>Radford K et al.  ·  J Nurs Manag  ·  2026  ·  PMID 42760590</w:t>
      </w:r>
    </w:p>
    <w:p>
      <w:r>
        <w:t>Australische Implementierungsstudie eines Dyad-Leadership-Modells (klinische und administrative Führung gemeinsam) in drei Altenheimen mit Vor-Nachher-Datenerhebung über 6 Monate.</w:t>
      </w:r>
    </w:p>
    <w:p>
      <w:r>
        <w:rPr>
          <w:b/>
        </w:rPr>
        <w:t xml:space="preserve">Ergebnis: </w:t>
      </w:r>
      <w:r>
        <w:t>Nach 6 Monaten: Verbesserte Rollenklarheit, Karriereperspektiven und Wohlbefindung (Interviews). Zufriedenheit mit Kommunikation und Versorgungsqualität stieg. Hospitalisierungen, Vorfälle und Klingel-Reaktionszeiten zeigten keine signifikanten Veränderungen. Einige klinische Mitarbeitende sahen Risiken für Karriereentwicklung.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Management-Modelle für Langzeitpflege sind teilweise übertragbar</w:t>
      </w:r>
    </w:p>
    <w:p>
      <w:r>
        <w:rPr>
          <w:color w:val="5A7D3A"/>
          <w:sz w:val="18"/>
        </w:rPr>
        <w:t>https://pubmed.ncbi.nlm.nih.gov/42760590/</w:t>
      </w:r>
    </w:p>
    <w:p>
      <w:pPr>
        <w:pStyle w:val="Heading2"/>
      </w:pPr>
      <w:r>
        <w:t>Selbstpflege bei Menschen mit Stoma: Unterschiede zwischen Patienten und pflegenden Angehörigen</w:t>
      </w:r>
    </w:p>
    <w:p>
      <w:r>
        <w:rPr>
          <w:i/>
          <w:color w:val="666666"/>
          <w:sz w:val="18"/>
        </w:rPr>
        <w:t>Magi CE et al.  ·  J Wound Ostomy Continence Nurs  ·  Sept. 2026  ·  PMID 42758163</w:t>
      </w:r>
    </w:p>
    <w:p>
      <w:r>
        <w:t>Querschnittsuntersuchung bei 523 Stomapatientinnen und -patienten und 252 pflegenden Angehörigen aus zwei italienischen Regionen zur Erfassung von Selbstpflege-Engagement und Unterstützung durch Angehörige.</w:t>
      </w:r>
    </w:p>
    <w:p>
      <w:r>
        <w:rPr>
          <w:b/>
        </w:rPr>
        <w:t xml:space="preserve">Ergebnis: </w:t>
      </w:r>
      <w:r>
        <w:t>Patienten und Angehörige zeigten angemessene Selbstpflege-Wartung, aber unzureichendes Selbstmanagement und Sicherheit. Männer schnitten bei einzelnen Items schlechter ab als Frauen; zwischen den Geschlechtern keine signifikanten Unterschiede beim Engagement der Angehörigen. Angehörige bewerteten spezifische Monitoring-Items niedriger als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Versorgungsstrukturen in südeuropäischen Gesundheitssystemen</w:t>
      </w:r>
    </w:p>
    <w:p>
      <w:r>
        <w:rPr>
          <w:color w:val="5A7D3A"/>
          <w:sz w:val="18"/>
        </w:rPr>
        <w:t>https://pubmed.ncbi.nlm.nih.gov/42758163/</w:t>
      </w:r>
    </w:p>
    <w:p>
      <w:pPr>
        <w:pStyle w:val="Heading2"/>
      </w:pPr>
      <w:r>
        <w:t>Impfschulung für Pflegekräfte: Effektivität für Impfberatung von Eltern</w:t>
      </w:r>
    </w:p>
    <w:p>
      <w:r>
        <w:rPr>
          <w:i/>
          <w:color w:val="666666"/>
          <w:sz w:val="18"/>
        </w:rPr>
        <w:t>Tiryaki Ö  ·  Biomedica  ·  20.08.2026  ·  PMID 42757794</w:t>
      </w:r>
    </w:p>
    <w:p>
      <w:r>
        <w:t>Quasi-experimentelle Studie bei 249 Hebammen und Pflegekräften zur Messung von Veränderungen in Vaccine-Advocacy-Scores vor und nach einer Schulungsintervention.</w:t>
      </w:r>
    </w:p>
    <w:p>
      <w:r>
        <w:rPr>
          <w:b/>
        </w:rPr>
        <w:t xml:space="preserve">Ergebnis: </w:t>
      </w:r>
      <w:r>
        <w:t>Prätraining-Score Vaccine Advocacy Scale: 45,19±2,85; Post-Training: 46,95±1,99 (Wilcoxon p=0,000). Obwohl bereits hohe Ausgangswerte vorlagen, zeigte sich statistisch signifikante Steigerung. Training war wirksam, trotz bereits guter Baseline.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Schulungswirksamkeit bei Gesundheitsfachkräften ist kontextunabhängig</w:t>
      </w:r>
    </w:p>
    <w:p>
      <w:r>
        <w:rPr>
          <w:color w:val="5A7D3A"/>
          <w:sz w:val="18"/>
        </w:rPr>
        <w:t>https://pubmed.ncbi.nlm.nih.gov/42757794/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