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20.10.2026  |  349 Studien  |  pflege.m-vf.de</w:t>
      </w:r>
    </w:p>
    <w:p>
      <w:pPr>
        <w:pStyle w:val="Heading1"/>
      </w:pPr>
      <w:r>
        <w:t>Aufgenommen am 20.10.2026</w:t>
      </w:r>
    </w:p>
    <w:p>
      <w:pPr>
        <w:pStyle w:val="Heading2"/>
      </w:pPr>
      <w:r>
        <w:t>Rehabilitations-Interventionen bei Schluckstörung nach Schlaganfall: Netzwerk-Metaanalyse</w:t>
      </w:r>
    </w:p>
    <w:p>
      <w:r>
        <w:rPr>
          <w:i/>
          <w:color w:val="666666"/>
          <w:sz w:val="18"/>
        </w:rPr>
        <w:t>Lai R et al.  ·  Jpn J Nurs Sci  ·  Okt. 2026  ·  PMID 42896962</w:t>
      </w:r>
    </w:p>
    <w:p>
      <w:r>
        <w:t>Netzwerk-Metaanalyse von 17 RCTs zu Effektivität von in Pflegeleistung integrierten Rehabilitationsinterventionen bei Schluckfunktion und -sicherheit nach Schlaganfall.</w:t>
      </w:r>
    </w:p>
    <w:p>
      <w:r>
        <w:rPr>
          <w:b/>
        </w:rPr>
        <w:t xml:space="preserve">Ergebnis: </w:t>
      </w:r>
      <w:r>
        <w:t>Rehabilitations-Pflegemaßnahmen übertroffen konventionelle Versorgung bei Verbesserung der Functional Oral Intake Scale (FOIS), Penetration-Aspiration Scale (PAS) und Videofluoroscopic Dysphagia Scale. Für FOIS: Kinesiologie-Tape kombiniert mit neuromuskulärer Elektrostimulation (SUCRA 78,7 %) und Atemmuskulatur-Training (SUCRA 78,1 %) rangiert höchst. Für PAS: kombinierte Tape+Elektrostimulation (SUCRA 95,9 %) und Tape allein (SUCRA 84,1 %) zeigten beste Rankings.</w:t>
      </w:r>
    </w:p>
    <w:p>
      <w:r>
        <w:rPr>
          <w:b/>
          <w:sz w:val="19"/>
        </w:rPr>
        <w:t xml:space="preserve">Übertragbarkeit: </w:t>
      </w:r>
      <w:r>
        <w:rPr>
          <w:sz w:val="19"/>
        </w:rPr>
        <w:t>Asien/international Systemreview; Interventionen physiotherapeutisch-pflegeintegr., auf Deutschland übertragbar</w:t>
      </w:r>
    </w:p>
    <w:p>
      <w:r>
        <w:rPr>
          <w:color w:val="5A7D3A"/>
          <w:sz w:val="18"/>
        </w:rPr>
        <w:t>https://pubmed.ncbi.nlm.nih.gov/42896962/</w:t>
      </w:r>
    </w:p>
    <w:p>
      <w:pPr>
        <w:pStyle w:val="Heading2"/>
      </w:pPr>
      <w:r>
        <w:t>Telehealth für Stoma-Versorgung: was Patienten berichten</w:t>
      </w:r>
    </w:p>
    <w:p>
      <w:r>
        <w:rPr>
          <w:i/>
          <w:color w:val="666666"/>
          <w:sz w:val="18"/>
        </w:rPr>
        <w:t>Korkmaz E et al.  ·  Nurs Open  ·  Okt. 2026  ·  PMID 42896164</w:t>
      </w:r>
    </w:p>
    <w:p>
      <w:r>
        <w:t>Qualitative Studie mit sieben Patienten mit Stoma, die Telehealth-Unterstützung von Pflegekräften erhielten, zu deren Erfahrungen mit Produktmanagement und remote Beratung.</w:t>
      </w:r>
    </w:p>
    <w:p>
      <w:r>
        <w:rPr>
          <w:b/>
        </w:rPr>
        <w:t xml:space="preserve">Ergebnis: </w:t>
      </w:r>
      <w:r>
        <w:t>Patienten beschrieben Telehealth-Anleitung als praktisch, zeitnah und personalisiert. Sie halfen bei Lecks, Hautirritation und Produktwahl. Patienten berichteten weniger Krankenhausbesuche, Sicherheitsgefühl und Erleichterung. Telehealth war ihre primäre vertraute Informationsquelle, obwohl manche auch Ärzte oder Internet befragten.</w:t>
      </w:r>
    </w:p>
    <w:p>
      <w:r>
        <w:rPr>
          <w:b/>
          <w:sz w:val="19"/>
        </w:rPr>
        <w:t xml:space="preserve">Übertragbarkeit: </w:t>
      </w:r>
      <w:r>
        <w:rPr>
          <w:sz w:val="19"/>
        </w:rPr>
        <w:t>Türkei, private Versorgung; Ansatz übertragbar auf strukturierte Telehealth-Protokolle</w:t>
      </w:r>
    </w:p>
    <w:p>
      <w:r>
        <w:rPr>
          <w:color w:val="5A7D3A"/>
          <w:sz w:val="18"/>
        </w:rPr>
        <w:t>https://pubmed.ncbi.nlm.nih.gov/42896164/</w:t>
      </w:r>
    </w:p>
    <w:p>
      <w:pPr>
        <w:pStyle w:val="Heading2"/>
      </w:pPr>
      <w:r>
        <w:t>Vorausschauende Versorgungsplanung bei Menschen mit Behinderung: Wissen und Kommunikation</w:t>
      </w:r>
    </w:p>
    <w:p>
      <w:r>
        <w:rPr>
          <w:i/>
          <w:color w:val="666666"/>
          <w:sz w:val="18"/>
        </w:rPr>
        <w:t>De Grim M et al.  ·  Eur J Gen Pract  ·  19.10.2026  ·  PMID 42895908</w:t>
      </w:r>
    </w:p>
    <w:p>
      <w:r>
        <w:t>Qualitative Studie mit Hausärzten und Angehörigen in Belgien zur Erfahrung von Vorausschauender Versorgungsplanung bei Erwachsenen mit moderater bis schwerer Intelligenzminderung.</w:t>
      </w:r>
    </w:p>
    <w:p>
      <w:r>
        <w:rPr>
          <w:b/>
        </w:rPr>
        <w:t xml:space="preserve">Ergebnis: </w:t>
      </w:r>
      <w:r>
        <w:t>Sechs Hausärzte und fünf Angehörige berichteten von Wissenslücken zur Vorausschauenden Versorgungsplanung, Kommunikationshindernissen und Unsicherheit beim Zeitpunkt. Beide Gruppen wünschten sich frühere, breitere Gespräche über Versorgungsziele und persönliche Werte statt nur über Reanimationsverzicht. Trotz Herausforderungen erlebten Teilnehmende solche Gespräche als hilfreich und beruhigend.</w:t>
      </w:r>
    </w:p>
    <w:p>
      <w:r>
        <w:rPr>
          <w:b/>
          <w:sz w:val="19"/>
        </w:rPr>
        <w:t xml:space="preserve">Übertragbarkeit: </w:t>
      </w:r>
      <w:r>
        <w:rPr>
          <w:sz w:val="19"/>
        </w:rPr>
        <w:t>Belgien, Hausarztpraxis, qualitativ; vergleichbar mit deutschem Primärversorgungssystem</w:t>
      </w:r>
    </w:p>
    <w:p>
      <w:r>
        <w:rPr>
          <w:color w:val="5A7D3A"/>
          <w:sz w:val="18"/>
        </w:rPr>
        <w:t>https://pubmed.ncbi.nlm.nih.gov/42895908/</w:t>
      </w:r>
    </w:p>
    <w:p>
      <w:pPr>
        <w:pStyle w:val="Heading2"/>
      </w:pPr>
      <w:r>
        <w:t>Schulung zu Frühwarn-Scores in Pädiatrie: wie Pflegekräfte Verschlechterung erkennen</w:t>
      </w:r>
    </w:p>
    <w:p>
      <w:r>
        <w:rPr>
          <w:i/>
          <w:color w:val="666666"/>
          <w:sz w:val="18"/>
        </w:rPr>
        <w:t>Hafez Elsayed ZE et al.  ·  J Nurs Manag  ·  2026  ·  PMID 42894480</w:t>
      </w:r>
    </w:p>
    <w:p>
      <w:r>
        <w:t>Quasi-experimentelle Studie mit 114 pädiatrischen Pflegekräften in Ägypten zum Effekt eines strukturierten Trainings zu Pädiatrischem Frühwarnsystem auf Wissen und klinische Leistung.</w:t>
      </w:r>
    </w:p>
    <w:p>
      <w:r>
        <w:rPr>
          <w:b/>
        </w:rPr>
        <w:t xml:space="preserve">Ergebnis: </w:t>
      </w:r>
      <w:r>
        <w:t>Unmittelbar nach Intervention erreichten 94,7 % der Interventionsgruppe vs. 24,6 % der Kontrollgruppe hohes Wissensniveau (p &lt; 0,001); zufriedenstellende klinische Leistung zeigte sich bei 91,2 % vs. 22,8 % (p &lt; 0,001). Bei Follow-up blieben die Unterschiede bestehen: 87,7 % vs. 10,5 % Wissen (p &lt; 0,001), 87,7 % vs. 19,3 % Leistung (p &lt; 0,001). Wissen und Leistung korrelierten positiv.</w:t>
      </w:r>
    </w:p>
    <w:p>
      <w:r>
        <w:rPr>
          <w:b/>
          <w:sz w:val="19"/>
        </w:rPr>
        <w:t xml:space="preserve">Übertragbarkeit: </w:t>
      </w:r>
      <w:r>
        <w:rPr>
          <w:sz w:val="19"/>
        </w:rPr>
        <w:t>Ägypten, akutstationäre Pädiatrie; methodisch übertragbar, länderspezifische Strukturen beachten</w:t>
      </w:r>
    </w:p>
    <w:p>
      <w:r>
        <w:rPr>
          <w:color w:val="5A7D3A"/>
          <w:sz w:val="18"/>
        </w:rPr>
        <w:t>https://pubmed.ncbi.nlm.nih.gov/42894480/</w:t>
      </w:r>
    </w:p>
    <w:p>
      <w:pPr>
        <w:pStyle w:val="Heading2"/>
      </w:pPr>
      <w:r>
        <w:t>Aufgabenverteilung unter Hochlast: wie Pflegekräfte Gerechtigkeit erleben</w:t>
      </w:r>
    </w:p>
    <w:p>
      <w:r>
        <w:rPr>
          <w:i/>
          <w:color w:val="666666"/>
          <w:sz w:val="18"/>
        </w:rPr>
        <w:t>Cao Y et al.  ·  J Nurs Manag  ·  2026  ·  PMID 42894391</w:t>
      </w:r>
    </w:p>
    <w:p>
      <w:r>
        <w:t>Qualitative Studie mit 27 Pflegekräften (24 Fachkräfte, 3 Stationsleitungen) aus sieben chinesischen Kliniken zur Erfahrung von Gerechtigkeit bei der Aufgabenverteilung unter Hochlastbedingungen.</w:t>
      </w:r>
    </w:p>
    <w:p>
      <w:r>
        <w:rPr>
          <w:b/>
        </w:rPr>
        <w:t xml:space="preserve">Ergebnis: </w:t>
      </w:r>
      <w:r>
        <w:t>Sechs Themen zeigten, dass Pflegekräfte Gerechtigkeit an Lastverteilung, verfügbarem Personal und Verhältnis Anstrengung-Anerkennung bewerteten. Sie berichteten von reduzierter Pflege unter Zeitdruck, Gewissenskonflikten und emotionaler Belastung. Sie wünschten sich aufwandbasierte Zuweisung, flexible Unterstützung bei Spitzenlast und transparente Rotation – fürchteten aber weitere Laststeigerungen und unzureichende Ressourcen.</w:t>
      </w:r>
    </w:p>
    <w:p>
      <w:r>
        <w:rPr>
          <w:b/>
          <w:sz w:val="19"/>
        </w:rPr>
        <w:t xml:space="preserve">Übertragbarkeit: </w:t>
      </w:r>
      <w:r>
        <w:rPr>
          <w:sz w:val="19"/>
        </w:rPr>
        <w:t>China, Akutkliniken; qualitativ, zeigt Belastungsmuster übertragbar auf Personalbemessungsdiskurs</w:t>
      </w:r>
    </w:p>
    <w:p>
      <w:r>
        <w:rPr>
          <w:color w:val="5A7D3A"/>
          <w:sz w:val="18"/>
        </w:rPr>
        <w:t>https://pubmed.ncbi.nlm.nih.gov/42894391/</w:t>
      </w:r>
    </w:p>
    <w:p>
      <w:pPr>
        <w:pStyle w:val="Heading2"/>
      </w:pPr>
      <w:r>
        <w:t>Digitale Schulung zu Versorgungsplanung in Pflegeheimen: was Studierende mitnehmen</w:t>
      </w:r>
    </w:p>
    <w:p>
      <w:r>
        <w:rPr>
          <w:i/>
          <w:color w:val="666666"/>
          <w:sz w:val="18"/>
        </w:rPr>
        <w:t>Craig S et al.  ·  BMC Palliat Care  ·  22.07.2026  ·  PMID 42894208</w:t>
      </w:r>
    </w:p>
    <w:p>
      <w:r>
        <w:t>Qualitative Studie mit 16 Studierenden (Krankenpflege, erstes Jahr) in UK über Erfahrungen mit Online-Lernressource zur Vorausschauenden Versorgungsplanung in Pflegeheimplatzierungen.</w:t>
      </w:r>
    </w:p>
    <w:p>
      <w:r>
        <w:rPr>
          <w:b/>
        </w:rPr>
        <w:t xml:space="preserve">Ergebnis: </w:t>
      </w:r>
      <w:r>
        <w:t>Studierende erlebten die digitale Ressource als zugänglich und passend zum Pflegeheim-Kontext. Sie berichteten gestiegenes Selbstvertrauen und erhöhte Bereitschaft, Versorgungsplanungs-Gespräche in der Praxis zu führen. Viele teilten die Ressource mit Personal und Kollegen. Manche wünschten sich mehr Interaktivität und Rehearsal-Gelegenheiten.</w:t>
      </w:r>
    </w:p>
    <w:p>
      <w:r>
        <w:rPr>
          <w:b/>
          <w:sz w:val="19"/>
        </w:rPr>
        <w:t xml:space="preserve">Übertragbarkeit: </w:t>
      </w:r>
      <w:r>
        <w:rPr>
          <w:sz w:val="19"/>
        </w:rPr>
        <w:t>UK, Pflegeheime, Pflegefachausbildung; übertragbar auf deutschsprachige Curricula</w:t>
      </w:r>
    </w:p>
    <w:p>
      <w:r>
        <w:rPr>
          <w:color w:val="5A7D3A"/>
          <w:sz w:val="18"/>
        </w:rPr>
        <w:t>https://pubmed.ncbi.nlm.nih.gov/42894208/</w:t>
      </w:r>
    </w:p>
    <w:p>
      <w:pPr>
        <w:pStyle w:val="Heading2"/>
      </w:pPr>
      <w:r>
        <w:t>Männliche Angehörige mit Demenz-Pflegeaufgaben: Hemmnisse bei der Hilfsuche</w:t>
      </w:r>
    </w:p>
    <w:p>
      <w:r>
        <w:rPr>
          <w:i/>
          <w:color w:val="666666"/>
          <w:sz w:val="18"/>
        </w:rPr>
        <w:t>Shin H et al.  ·  Int J Geriatr Psychiatry  ·  Okt. 2026  ·  PMID 42892696</w:t>
      </w:r>
    </w:p>
    <w:p>
      <w:r>
        <w:t>Systematischer Review mit 16 Studien zu Hemmnissen und Ermöglichern der Hilfsuche bei männlichen pflegenden Angehörigen von Menschen mit Demenz.</w:t>
      </w:r>
    </w:p>
    <w:p>
      <w:r>
        <w:rPr>
          <w:b/>
        </w:rPr>
        <w:t xml:space="preserve">Ergebnis: </w:t>
      </w:r>
      <w:r>
        <w:t>Psychologische Bewertung, Familiendynamik und strukturelle Barrieren beeinflussten Hilfsuche. Männliche Angehörige erlebten emotionale Herausforderungen; emotionale Unterdrückung verzögerte Hilfesuche. Familienbeziehungen und informelle Netzwerke waren zentral. Empfehlung: Unterstützung auf individueller, relationaler und struktureller Ebene, Anerkennung emotionaler Vulnerabilität unter task-orientierter Fassade.</w:t>
      </w:r>
    </w:p>
    <w:p>
      <w:r>
        <w:rPr>
          <w:b/>
          <w:sz w:val="19"/>
        </w:rPr>
        <w:t xml:space="preserve">Übertragbarkeit: </w:t>
      </w:r>
      <w:r>
        <w:rPr>
          <w:sz w:val="19"/>
        </w:rPr>
        <w:t>Internationales Review (hauptsächlich Nord-Amerika/Europa); Erkenntnisse zu Geschlechterdynamiken übertragbar</w:t>
      </w:r>
    </w:p>
    <w:p>
      <w:r>
        <w:rPr>
          <w:color w:val="5A7D3A"/>
          <w:sz w:val="18"/>
        </w:rPr>
        <w:t>https://pubmed.ncbi.nlm.nih.gov/42892696/</w:t>
      </w:r>
    </w:p>
    <w:p>
      <w:pPr>
        <w:pStyle w:val="Heading1"/>
      </w:pPr>
      <w:r>
        <w:t>Aufgenommen am 19.10.2026</w:t>
      </w:r>
    </w:p>
    <w:p>
      <w:pPr>
        <w:pStyle w:val="Heading2"/>
      </w:pPr>
      <w:r>
        <w:t>Soziale Teilhabe in Langzeitpflege: Roboter-VR-Interventionen bei kognitiven Einschränkungen</w:t>
      </w:r>
    </w:p>
    <w:p>
      <w:r>
        <w:rPr>
          <w:i/>
          <w:color w:val="666666"/>
          <w:sz w:val="18"/>
        </w:rPr>
        <w:t>Migovich M et al.  ·  Clin Interv Aging  ·  13.10.2026  ·  PMID 42893253</w:t>
      </w:r>
    </w:p>
    <w:p>
      <w:r>
        <w:t>Acht-Wochen-Studie mit 60 älteren Menschen mit kognitiven Beeinträchtigungen aus 23 Langzeiteinrichtungen (USA); 756 wiederholte Sitzungen mit sozialassistiven Robotern (hund-ähnlich, humanoid) gekoppelt mit VR, Messung Aufmerksamkeit und Sozialverhalten.</w:t>
      </w:r>
    </w:p>
    <w:p>
      <w:r>
        <w:rPr>
          <w:b/>
        </w:rPr>
        <w:t xml:space="preserve">Ergebnis: </w:t>
      </w:r>
      <w:r>
        <w:t>Aufmerksamkeit und Aktivitätshaltung blieben über wiederholte Exposition stabil positiv. Mensch-Mensch-Kommunikation (Mitbewohner, Fachpersonal) trat über beide Systeme auf; hund-ähnlicher Roboter führte zu mehr roboter-gerichteter Sprache, ohne Reduktion der Peer-Kommunikation. Baseline-Kognition assoziiert mit Aufmerksamkeit, nicht mit Einstellung. Roboter-Anthropomorphisierung bei Baseline korrelierte mit positiverer Engagement-Qualität.</w:t>
      </w:r>
    </w:p>
    <w:p>
      <w:r>
        <w:rPr>
          <w:b/>
          <w:sz w:val="19"/>
        </w:rPr>
        <w:t xml:space="preserve">Übertragbarkeit: </w:t>
      </w:r>
      <w:r>
        <w:rPr>
          <w:sz w:val="19"/>
        </w:rPr>
        <w:t>USA, konzeptionell für Aktivierungsansätze in deutschen Heimen relevant, Feasibility-Befund unabhängig von Finanzierungssystem</w:t>
      </w:r>
    </w:p>
    <w:p>
      <w:r>
        <w:rPr>
          <w:color w:val="5A7D3A"/>
          <w:sz w:val="18"/>
        </w:rPr>
        <w:t>https://pubmed.ncbi.nlm.nih.gov/42893253/</w:t>
      </w:r>
    </w:p>
    <w:p>
      <w:pPr>
        <w:pStyle w:val="Heading2"/>
      </w:pPr>
      <w:r>
        <w:t>Ungedeckte Fortbildungsbedarfe in der Altenpflege: Pan-europäische Befragung ambulanter und häuslicher Dienste</w:t>
      </w:r>
    </w:p>
    <w:p>
      <w:r>
        <w:rPr>
          <w:i/>
          <w:color w:val="666666"/>
          <w:sz w:val="18"/>
        </w:rPr>
        <w:t>Kravvariti E et al.  ·  Age Ageing  ·  03.08.2026  ·  PMID 42891966</w:t>
      </w:r>
    </w:p>
    <w:p>
      <w:r>
        <w:t>Die Studie erfasste bei 2380 Fachkräften aus 41 europäischen Ländern, welche Wissenslücken sie in der geriatrischen Versorgung selbst wahrnehmen. Bewertet wurden 33 Themenbereiche anhand einer Skala aus Relevanz, Interesse und subjektivem Wissen.</w:t>
      </w:r>
    </w:p>
    <w:p>
      <w:r>
        <w:rPr>
          <w:b/>
        </w:rPr>
        <w:t xml:space="preserve">Ergebnis: </w:t>
      </w:r>
      <w:r>
        <w:t>Größte Wissenslücken (höchste z-Scores) bestanden in: umfassender geriatrischer Erfassung, Widerstandsfähigkeit, chronischem Schmerz, Verhaltenssymptomen bei Demenz, Depression, Gebrechlichkeit und kognitiven Screenings. Alle Fachgruppen zeigten konsistent höhere Bewertung von Relevanz und Interesse als Selbsteinschätzung des Wissens. Berufsspezifische Prioritäten: Kommunikation und Patientenverfügungen (Pflege/Logopädie), Polypharmazie (Ärzte/Apotheker), Ernährung (Diätassistenten), psychische Gesundheit (Psychologen).</w:t>
      </w:r>
    </w:p>
    <w:p>
      <w:r>
        <w:rPr>
          <w:b/>
          <w:sz w:val="19"/>
        </w:rPr>
        <w:t xml:space="preserve">Übertragbarkeit: </w:t>
      </w:r>
      <w:r>
        <w:rPr>
          <w:sz w:val="19"/>
        </w:rPr>
        <w:t>41 europäische Länder, vergleichbare Versorgungskontexte, direkt auf deutsche Praxis übertragbar</w:t>
      </w:r>
    </w:p>
    <w:p>
      <w:r>
        <w:rPr>
          <w:color w:val="5A7D3A"/>
          <w:sz w:val="18"/>
        </w:rPr>
        <w:t>https://pubmed.ncbi.nlm.nih.gov/42891966/</w:t>
      </w:r>
    </w:p>
    <w:p>
      <w:pPr>
        <w:pStyle w:val="Heading2"/>
      </w:pPr>
      <w:r>
        <w:t>Burnout und Berufungserleben: Drei Pflegeprofil-Typen und ihre Folgen für unterlassene Pflege</w:t>
      </w:r>
    </w:p>
    <w:p>
      <w:r>
        <w:rPr>
          <w:i/>
          <w:color w:val="666666"/>
          <w:sz w:val="18"/>
        </w:rPr>
        <w:t>Mo N et al.  ·  J Nurs Manag  ·  2026  ·  PMID 42891534</w:t>
      </w:r>
    </w:p>
    <w:p>
      <w:r>
        <w:t>Latente-Profil-Analyse bei 524 Pflegenden aus China identifizierte Subgruppen unterschiedlichen Burnouts und Berufungsverständnisses und deren Zusammenhang mit selbstberichteter unterlassener Pflege sowie Arbeitsumgebung.</w:t>
      </w:r>
    </w:p>
    <w:p>
      <w:r>
        <w:rPr>
          <w:b/>
        </w:rPr>
        <w:t xml:space="preserve">Ergebnis: </w:t>
      </w:r>
      <w:r>
        <w:t>Drei Profile: «niedriger Burnout–hohes Berufungserleben» (49,6%), «reduzierte Leistungszufriedenheit» (37,8%), «hoher Burnout–niedriges Berufungserleben» (12,6%). Die Gruppe mit hohem Burnout berichtete höchste Quote unterlassener Pflege, gefolgt von reduzierter Leistungszufriedenheit. Alter, Qualifikation, beruflicher Status und Arbeitsumgebung waren signifikant mit Profilzugehörigkeit assoziiert.</w:t>
      </w:r>
    </w:p>
    <w:p>
      <w:r>
        <w:rPr>
          <w:b/>
          <w:sz w:val="19"/>
        </w:rPr>
        <w:t xml:space="preserve">Übertragbarkeit: </w:t>
      </w:r>
      <w:r>
        <w:rPr>
          <w:sz w:val="19"/>
        </w:rPr>
        <w:t>China, ähnliche Krankenhaus- und Organisationsstrukturen, Personalbemessungsfragen relevant auch für Deutschland</w:t>
      </w:r>
    </w:p>
    <w:p>
      <w:r>
        <w:rPr>
          <w:color w:val="5A7D3A"/>
          <w:sz w:val="18"/>
        </w:rPr>
        <w:t>https://pubmed.ncbi.nlm.nih.gov/42891534/</w:t>
      </w:r>
    </w:p>
    <w:p>
      <w:pPr>
        <w:pStyle w:val="Heading2"/>
      </w:pPr>
      <w:r>
        <w:t>Instrument zur Messung von Pflegeleistungs-Rationierung: Entwicklung und Validierung</w:t>
      </w:r>
    </w:p>
    <w:p>
      <w:r>
        <w:rPr>
          <w:i/>
          <w:color w:val="666666"/>
          <w:sz w:val="18"/>
        </w:rPr>
        <w:t>Mohammadi MM et al.  ·  Nurs Open  ·  Okt. 2026  ·  PMID 42888517</w:t>
      </w:r>
    </w:p>
    <w:p>
      <w:r>
        <w:t>Qualitative Vorarbeit (15 Pflegende, Inhaltsanalyse) und anschließende Validierungsstudie mit 220 klinischen Pflegenden zur Entwicklung eines Messinstruments für geleistete Pflegeoptimierungen und -ausfälle.</w:t>
      </w:r>
    </w:p>
    <w:p>
      <w:r>
        <w:rPr>
          <w:b/>
        </w:rPr>
        <w:t xml:space="preserve">Ergebnis: </w:t>
      </w:r>
      <w:r>
        <w:t>Finales Instrument mit 12 Items, ein Faktor, erklärt 71,97% Varianz. Exploratory Graph Analysis zeigte 100%ige Itemstabilität über 500 Bootstrap-Iterationen, Mokken H=0,762. Interne Konsistenz Cronbachs α=0,953, Test-Retest ICC=0,969 (95% KI: 0,953–0,985). Monte-Carlo-Simulation (1000 Wiederholungen) bestätigte hohe strukturelle Replizierbarkeit.</w:t>
      </w:r>
    </w:p>
    <w:p>
      <w:r>
        <w:rPr>
          <w:b/>
          <w:sz w:val="19"/>
        </w:rPr>
        <w:t xml:space="preserve">Übertragbarkeit: </w:t>
      </w:r>
      <w:r>
        <w:rPr>
          <w:sz w:val="19"/>
        </w:rPr>
        <w:t>Iran; Instrument-Validierung für Versorgungspraxis relevant, methodische Übertragbarkeit auf deutsche Kontexte</w:t>
      </w:r>
    </w:p>
    <w:p>
      <w:r>
        <w:rPr>
          <w:color w:val="5A7D3A"/>
          <w:sz w:val="18"/>
        </w:rPr>
        <w:t>https://pubmed.ncbi.nlm.nih.gov/42888517/</w:t>
      </w:r>
    </w:p>
    <w:p>
      <w:pPr>
        <w:pStyle w:val="Heading2"/>
      </w:pPr>
      <w:r>
        <w:t>Geschlechtsbasierte Gewalt in Beziehungen: Wissenslücken in der Pflegeausbildung Südspanien</w:t>
      </w:r>
    </w:p>
    <w:p>
      <w:r>
        <w:rPr>
          <w:i/>
          <w:color w:val="666666"/>
          <w:sz w:val="18"/>
        </w:rPr>
        <w:t>Tarriño-Concejero L et al.  ·  BMC Public Health  ·  28.07.2026  ·  PMID 42870243</w:t>
      </w:r>
    </w:p>
    <w:p>
      <w:r>
        <w:t>Qualitative Studie mit 24 Pflegestudierenden (18–24 Jahre) zu Erkennung und Verständnis von Partnergewalt sowie Einschätzung ihrer Ausbildungsvorbereitung.</w:t>
      </w:r>
    </w:p>
    <w:p>
      <w:r>
        <w:rPr>
          <w:b/>
        </w:rPr>
        <w:t xml:space="preserve">Ergebnis: </w:t>
      </w:r>
      <w:r>
        <w:t>Studierende erkannten Kontrollverhalten und psychologische Misshandlung als häufigste Manifestationen. Identifizierten Missbrauch von Sozialen Medien sowie Alkohol/Drogen als Intensivierungsfaktoren. Berichteten emotionale und körperliche Folgen (Angst, Stress, somatische Symptome). Insgesamt bewerteten 24/24 ihre Ausbildung zu Partnergewalt als oberflächlich, praxisleitfaden-arm und zur Entwicklung kritischer Kompetenzen unzureichend.</w:t>
      </w:r>
    </w:p>
    <w:p>
      <w:r>
        <w:rPr>
          <w:b/>
          <w:sz w:val="19"/>
        </w:rPr>
        <w:t xml:space="preserve">Übertragbarkeit: </w:t>
      </w:r>
      <w:r>
        <w:rPr>
          <w:sz w:val="19"/>
        </w:rPr>
        <w:t>Spanien, europäische Curriculum-Standards, Erkenntnisse zu Ausbildungslücken auf Deutschland übertragbar</w:t>
      </w:r>
    </w:p>
    <w:p>
      <w:r>
        <w:rPr>
          <w:color w:val="5A7D3A"/>
          <w:sz w:val="18"/>
        </w:rPr>
        <w:t>https://pubmed.ncbi.nlm.nih.gov/42870243/</w:t>
      </w:r>
    </w:p>
    <w:p>
      <w:pPr>
        <w:pStyle w:val="Heading2"/>
      </w:pPr>
      <w:r>
        <w:t>Advanced Nursing Practice in Europa: Regulierung und Grenzen der Aufgabenerweiterung</w:t>
      </w:r>
    </w:p>
    <w:p>
      <w:r>
        <w:rPr>
          <w:i/>
          <w:color w:val="666666"/>
          <w:sz w:val="18"/>
        </w:rPr>
        <w:t>Bohlender C et al.  ·  Int Nurs Rev  ·  Dez. 2026  ·  PMID 42861839</w:t>
      </w:r>
    </w:p>
    <w:p>
      <w:r>
        <w:t>Befragung von Regulatoren, Lehrenden und Berufsverbänden in WHO-Europaregion zu Stand und Rahmenbedingungen von erweiterten Pflegefunktionen in 32 Ländern.</w:t>
      </w:r>
    </w:p>
    <w:p>
      <w:r>
        <w:rPr>
          <w:b/>
        </w:rPr>
        <w:t xml:space="preserve">Ergebnis: </w:t>
      </w:r>
      <w:r>
        <w:t>Mehrheit europäischer Länder hat Advanced-Practice-Rollen; Tätigkeitsumfang variiert erheblich. Unabhängige Verschreibungsbefugnis in nur 4 Ländern etabliert. Reife der Rollen korrelierte mit staatlich gesteuerter oder gesetzlich verankerter Regulierung. Interessenvertreter befürworteten mehrheitlich regulatorische Intervention; empfohlen: Titel-, Qualifikations- und Kompetenznormierung sowie Regelung risikoreicher Funktionen (Diagnose, Verordnung).</w:t>
      </w:r>
    </w:p>
    <w:p>
      <w:r>
        <w:rPr>
          <w:b/>
          <w:sz w:val="19"/>
        </w:rPr>
        <w:t xml:space="preserve">Übertragbarkeit: </w:t>
      </w:r>
      <w:r>
        <w:rPr>
          <w:sz w:val="19"/>
        </w:rPr>
        <w:t>32 europäische Länder mit heterogenen Rechtssystemen; Regulierungslücke ähnlich auch in Deutschland</w:t>
      </w:r>
    </w:p>
    <w:p>
      <w:r>
        <w:rPr>
          <w:color w:val="5A7D3A"/>
          <w:sz w:val="18"/>
        </w:rPr>
        <w:t>https://pubmed.ncbi.nlm.nih.gov/42861839/</w:t>
      </w:r>
    </w:p>
    <w:p>
      <w:pPr>
        <w:pStyle w:val="Heading1"/>
      </w:pPr>
      <w:r>
        <w:t>Aufgenommen am 18.10.2026</w:t>
      </w:r>
    </w:p>
    <w:p>
      <w:pPr>
        <w:pStyle w:val="Heading2"/>
      </w:pPr>
      <w:r>
        <w:t>Sekundäres Trauma und Wachstum bei Pflegefachpersonen: drei psychische Profile</w:t>
      </w:r>
    </w:p>
    <w:p>
      <w:r>
        <w:rPr>
          <w:i/>
          <w:color w:val="666666"/>
          <w:sz w:val="18"/>
        </w:rPr>
        <w:t>Hu A et al.  ·  Front Public Health  ·  02.10.2026  ·  PMID 42890603</w:t>
      </w:r>
    </w:p>
    <w:p>
      <w:r>
        <w:t>Querschnittsstudie bei 496 chinesischen klinischen Pflegefachpersonen zur Identifikation unterschiedlicher Profile sekundären Traumas und posttraumatischen Wachstums und deren Einflussfaktoren.</w:t>
      </w:r>
    </w:p>
    <w:p>
      <w:r>
        <w:rPr>
          <w:b/>
        </w:rPr>
        <w:t xml:space="preserve">Ergebnis: </w:t>
      </w:r>
      <w:r>
        <w:t>Drei Profile identifiziert: Niedrig-Antwort-Profil (34,3%), Hochrisiko-Profil (42,3%), Positiv-Wachstums-Profil (23,4%). Selbstbeurteilter Gesundheitsstatus, Arbeitszufriedenheit, wahrgenommenes Burnout, administrative Position, Persönlichkeitsmerkmale und soziale Unterstützung waren signifikant mit Profilzugehörigkeit assoziiert (p &lt; 0,05). Zeigt heterogene psychische Reaktionsmuster auf Belastung.</w:t>
      </w:r>
    </w:p>
    <w:p>
      <w:r>
        <w:rPr>
          <w:b/>
          <w:sz w:val="19"/>
        </w:rPr>
        <w:t xml:space="preserve">Übertragbarkeit: </w:t>
      </w:r>
      <w:r>
        <w:rPr>
          <w:sz w:val="19"/>
        </w:rPr>
        <w:t>China – Kontext strukturelle Unterschiede; psychisches Belastungsprofil prinzipiell übertragbar</w:t>
      </w:r>
    </w:p>
    <w:p>
      <w:r>
        <w:rPr>
          <w:color w:val="5A7D3A"/>
          <w:sz w:val="18"/>
        </w:rPr>
        <w:t>https://pubmed.ncbi.nlm.nih.gov/42890603/</w:t>
      </w:r>
    </w:p>
    <w:p>
      <w:pPr>
        <w:pStyle w:val="Heading2"/>
      </w:pPr>
      <w:r>
        <w:t>Mentoring neu rekrutierter Intensivpfleger: Erfahrungen aus Ghana</w:t>
      </w:r>
    </w:p>
    <w:p>
      <w:r>
        <w:rPr>
          <w:i/>
          <w:color w:val="666666"/>
          <w:sz w:val="18"/>
        </w:rPr>
        <w:t>Konlan KD et al.  ·  Nurs Open  ·  Okt. 2026  ·  PMID 42888842</w:t>
      </w:r>
    </w:p>
    <w:p>
      <w:r>
        <w:t>Qualitative explorative Studie bei 12 neu rekrutierten Intensivpflegern in Accra zur Identifikation ihrer Erfahrungen und Bewältigungsstrategien in ressourcenlimitiertem Setting.</w:t>
      </w:r>
    </w:p>
    <w:p>
      <w:r>
        <w:rPr>
          <w:b/>
        </w:rPr>
        <w:t xml:space="preserve">Ergebnis: </w:t>
      </w:r>
      <w:r>
        <w:t>Kernthemen: Schichtkonflikte, fehlende Mentoren, unsupportive Lernumgebung; Bewältigungsstrategien: Selbstlerninitiative, Forderung nach strukturierten Orientierungsprogrammen, regelmäßige Evaluationen, Peer-Support-Netzwerke. Befunde zeigen: Ineffektives Mentoring durch Abwesenheit institutioneller Mentorship-Protokolle; strukturierte Orientation, Peer-Mentoring und geschützte Mentorship-Zeit als Lösungen identifiziert.</w:t>
      </w:r>
    </w:p>
    <w:p>
      <w:r>
        <w:rPr>
          <w:b/>
          <w:sz w:val="19"/>
        </w:rPr>
        <w:t xml:space="preserve">Übertragbarkeit: </w:t>
      </w:r>
      <w:r>
        <w:rPr>
          <w:sz w:val="19"/>
        </w:rPr>
        <w:t>Ghana – ressourcenbegrenzt, aber Mentoring-Gap und Bewältigungsstrategien prinzipiell relevant</w:t>
      </w:r>
    </w:p>
    <w:p>
      <w:r>
        <w:rPr>
          <w:color w:val="5A7D3A"/>
          <w:sz w:val="18"/>
        </w:rPr>
        <w:t>https://pubmed.ncbi.nlm.nih.gov/42888842/</w:t>
      </w:r>
    </w:p>
    <w:p>
      <w:pPr>
        <w:pStyle w:val="Heading2"/>
      </w:pPr>
      <w:r>
        <w:t>Strukturiertes Schmerzmanagement bei Terminalpatienten: schneller Einsatz, bessere Outcomes</w:t>
      </w:r>
    </w:p>
    <w:p>
      <w:r>
        <w:rPr>
          <w:i/>
          <w:color w:val="666666"/>
          <w:sz w:val="18"/>
        </w:rPr>
        <w:t>Nie H et al.  ·  Medicine (Baltimore)  ·  16.10.2026  ·  PMID 42888634</w:t>
      </w:r>
    </w:p>
    <w:p>
      <w:r>
        <w:t>Retrospektive Kohortenstudie bei 724 Terminalkrebspatienten in der Notaufnahme zur Assoziation zwischen zeitgerechtem strukturiertem Schmerzmanagement und Schmerzlinderung.</w:t>
      </w:r>
    </w:p>
    <w:p>
      <w:r>
        <w:rPr>
          <w:b/>
        </w:rPr>
        <w:t xml:space="preserve">Ergebnis: </w:t>
      </w:r>
      <w:r>
        <w:t>58,2% der Patienten erreichten effektive Schmerzlinderung (≥2-Punkte-Reduktion innerhalb 1 Stunde). Unabhängige Prädiktoren: Schmerzassessment innerhalb 30 Minuten (OR 1,84), Analgetikagabe innerhalb 30 Minuten (OR 2,24), Opioidnutzung (OR 1,52), dokumentierte Reassessment (OR 1,69). Strukturierte Gruppe (n=286): 75,9% vs. 46,6% Schmerzlinderung, schnellerer Eintritt (29,6 ± 11,3 vs. 52,7 ± 15,9 Min.), kürzerer Aufenthalt (3,4 ± 1,1 vs. 4,7 ± 1,4 Std.), weniger Revisiten in 72h (7,3% vs. 21,0%, p&lt;0,001).</w:t>
      </w:r>
    </w:p>
    <w:p>
      <w:r>
        <w:rPr>
          <w:b/>
          <w:sz w:val="19"/>
        </w:rPr>
        <w:t xml:space="preserve">Übertragbarkeit: </w:t>
      </w:r>
      <w:r>
        <w:rPr>
          <w:sz w:val="19"/>
        </w:rPr>
        <w:t>China – Dokumentationspraxis übertragbar, Palliativversorgung relevant</w:t>
      </w:r>
    </w:p>
    <w:p>
      <w:r>
        <w:rPr>
          <w:color w:val="5A7D3A"/>
          <w:sz w:val="18"/>
        </w:rPr>
        <w:t>https://pubmed.ncbi.nlm.nih.gov/42888634/</w:t>
      </w:r>
    </w:p>
    <w:p>
      <w:pPr>
        <w:pStyle w:val="Heading2"/>
      </w:pPr>
      <w:r>
        <w:t>Moralischer Stress bei Neueinsteigern: Zusammenhang mit Kündigungsabsicht</w:t>
      </w:r>
    </w:p>
    <w:p>
      <w:r>
        <w:rPr>
          <w:i/>
          <w:color w:val="666666"/>
          <w:sz w:val="18"/>
        </w:rPr>
        <w:t>Harris MA et al.  ·  Nurs Open  ·  Okt. 2026  ·  PMID 42888519</w:t>
      </w:r>
    </w:p>
    <w:p>
      <w:r>
        <w:t>Querschnittsstudie bei 203 neu lizenzierten Pflegefachpersonen (194 RN, 9 LPN) in US-amerikanischer Akutversorgung zur Assoziation zwischen moralischem Stress und Kündigungsabsicht.</w:t>
      </w:r>
    </w:p>
    <w:p>
      <w:r>
        <w:rPr>
          <w:b/>
        </w:rPr>
        <w:t xml:space="preserve">Ergebnis: </w:t>
      </w:r>
      <w:r>
        <w:t>Moralischer Stress signifikant mit Kündigungsabsicht assoziiert (p&lt;0,05), kontrolliert für Abteilung und Lizenztyp. Höhere Scores für moralischen Stress und Kündigungsabsicht in Medical-Surgical/Stepdown-Abteilungen als in Critical Care/ED und Procedural/Surgical Einheiten. Befunde zeigen: Moralischer Stress ist bedeutsamer Faktor für Fluktuationsabsicht bei Neueinsteigern; departmentspezifische Unterschiede deuten auf Bedarf für Abteilungsinterventionen hin.</w:t>
      </w:r>
    </w:p>
    <w:p>
      <w:r>
        <w:rPr>
          <w:b/>
          <w:sz w:val="19"/>
        </w:rPr>
        <w:t xml:space="preserve">Übertragbarkeit: </w:t>
      </w:r>
      <w:r>
        <w:rPr>
          <w:sz w:val="19"/>
        </w:rPr>
        <w:t>USA – Konzept übertragbar; deutsche Retention-Problematik bei Neueinsteigern ähnlich</w:t>
      </w:r>
    </w:p>
    <w:p>
      <w:r>
        <w:rPr>
          <w:color w:val="5A7D3A"/>
          <w:sz w:val="18"/>
        </w:rPr>
        <w:t>https://pubmed.ncbi.nlm.nih.gov/42888519/</w:t>
      </w:r>
    </w:p>
    <w:p>
      <w:pPr>
        <w:pStyle w:val="Heading2"/>
      </w:pPr>
      <w:r>
        <w:t>Belastung pflegender Eltern seltener Erkrankungen: unerwartete sozioökonomische Befunde</w:t>
      </w:r>
    </w:p>
    <w:p>
      <w:r>
        <w:rPr>
          <w:i/>
          <w:color w:val="666666"/>
          <w:sz w:val="18"/>
        </w:rPr>
        <w:t>Brandt M et al.  ·  Orphanet J Rare Dis  ·  12.10.2026  ·  PMID 42881418</w:t>
      </w:r>
    </w:p>
    <w:p>
      <w:r>
        <w:t>Querschnittsstudie bei 123 deutschen Eltern (84% weiblich) von Kindern mit seltenen Erkrankungen zur Erfassung von Pflegebelastung und ihrer Prädiktoren.</w:t>
      </w:r>
    </w:p>
    <w:p>
      <w:r>
        <w:rPr>
          <w:b/>
        </w:rPr>
        <w:t xml:space="preserve">Ergebnis: </w:t>
      </w:r>
      <w:r>
        <w:t>23% berichteten depressive Symptome (Borderline/klinisch relevant); 77% mindestens eine unerfüllte Unterstützungsneed; in Subgruppe mit Pflegebedarf: 24% hohe Pflegebelastung. Nach Adjustierung: Gruppe mit vs. ohne Pflegebedarf zeigte keine signifikanten Unterschiede in depressiven Symptomen, unerfüllten Needs oder Zufriedenheit (aber mittlere Effektstärken). Unerwartete Assoziation: höherer sozioökonomischer Status → höhere Pflegebelastung. Faktoren mit höchsten Assoziationen: niedrigere pflegebezogene Lebensqualität, höherer SES, elterliche depressive Symptome, niedrigere Zufriedenheit.</w:t>
      </w:r>
    </w:p>
    <w:p>
      <w:r>
        <w:rPr>
          <w:b/>
          <w:sz w:val="19"/>
        </w:rPr>
        <w:t xml:space="preserve">Übertragbarkeit: </w:t>
      </w:r>
      <w:r>
        <w:rPr>
          <w:sz w:val="19"/>
        </w:rPr>
        <w:t>Deutschland – deutsches Sample, vergleichbare Sozialstruktur, familiäre Pflege zentral</w:t>
      </w:r>
    </w:p>
    <w:p>
      <w:r>
        <w:rPr>
          <w:color w:val="5A7D3A"/>
          <w:sz w:val="18"/>
        </w:rPr>
        <w:t>https://pubmed.ncbi.nlm.nih.gov/42881418/</w:t>
      </w:r>
    </w:p>
    <w:p>
      <w:pPr>
        <w:pStyle w:val="Heading2"/>
      </w:pPr>
      <w:r>
        <w:t>Haemostasis-Protokolle in der Interventionskardiologie: Supervision und Adhärenz bei Pflegefachpersonen</w:t>
      </w:r>
    </w:p>
    <w:p>
      <w:r>
        <w:rPr>
          <w:i/>
          <w:color w:val="666666"/>
          <w:sz w:val="18"/>
        </w:rPr>
        <w:t>Rodrigues D et al.  ·  J Nurs Manag  ·  2026  ·  PMID 42878027</w:t>
      </w:r>
    </w:p>
    <w:p>
      <w:r>
        <w:t>Querschnittsstudie bei 96 portugiesischen Fachkräften in fünf Krankenhäusern zur Einhaltung von Hämostase-Protokollen nach radialer Koronarangiographie und zur klinischen Supervision.</w:t>
      </w:r>
    </w:p>
    <w:p>
      <w:r>
        <w:rPr>
          <w:b/>
        </w:rPr>
        <w:t xml:space="preserve">Ergebnis: </w:t>
      </w:r>
      <w:r>
        <w:t>Nur 6,3% zeigten volle Adhärenz zum TR-Band-Protokoll, 44,2% teilweise Adhärenz; erhebliche Variabilität bei Nachsorge (Fahrverbot 24 h: 44,8 % vs. 48 h: 47,9 %); 88,5% der Pflegefachpersonen hatten keine formale Supervisionsschulung; Supervisoren nutzten vorwiegend Erklärung und Demonstration (87,3%), weniger Feedback (45,1%) und Diskussion (43,1%). Zeigt großes Defizit zwischen Protokoll und Praxis sowie in formativer Supervision.</w:t>
      </w:r>
    </w:p>
    <w:p>
      <w:r>
        <w:rPr>
          <w:b/>
          <w:sz w:val="19"/>
        </w:rPr>
        <w:t xml:space="preserve">Übertragbarkeit: </w:t>
      </w:r>
      <w:r>
        <w:rPr>
          <w:sz w:val="19"/>
        </w:rPr>
        <w:t>Portugal – vergleichbare Pflegefachausbildung, kardiovaskuläre Pflegepraxis übertragbar</w:t>
      </w:r>
    </w:p>
    <w:p>
      <w:r>
        <w:rPr>
          <w:color w:val="5A7D3A"/>
          <w:sz w:val="18"/>
        </w:rPr>
        <w:t>https://pubmed.ncbi.nlm.nih.gov/42878027/</w:t>
      </w:r>
    </w:p>
    <w:p>
      <w:pPr>
        <w:pStyle w:val="Heading2"/>
      </w:pPr>
      <w:r>
        <w:t>Krisen-Resilienz im deutschen Gesundheitswesen: Bereitschaft von Nachwuchspflegekräften</w:t>
      </w:r>
    </w:p>
    <w:p>
      <w:r>
        <w:rPr>
          <w:i/>
          <w:color w:val="666666"/>
          <w:sz w:val="18"/>
        </w:rPr>
        <w:t>Amling L et al.  ·  BMC Public Health  ·  02.10.2026  ·  PMID 42827239</w:t>
      </w:r>
    </w:p>
    <w:p>
      <w:r>
        <w:t>Querschnittsstudie bei 514 deutschen Studierenden (Medizin, Pflege, Rettungsdienst) zur Assoziationen zwischen Vorbereitung, Bewusstsein, Eigenverantwortung und Bereitschaft zur Krisenbewältigung.</w:t>
      </w:r>
    </w:p>
    <w:p>
      <w:r>
        <w:rPr>
          <w:b/>
        </w:rPr>
        <w:t xml:space="preserve">Ergebnis: </w:t>
      </w:r>
      <w:r>
        <w:t>48,8% hielten NATO-Szenario bis 2030 für wahrscheinlich; 83,3% erwarteten negative Auswirkungen auf deutsches Gesundheitssystem; 94,5% sahen Gesundheitssystem als schlecht vorbereitet; individuelle Vorbereitung niedrig (Median 3 auf 0–12-Skala); in multivariater Analyse: höher wahrgenommene institutionelle Vorbereitung (p&lt;0,01), freiwilliges Engagement (p&lt;0,01) und Bewusstsein (p&lt;0,01) signifikant mit höherer Bereitschaft assoziiert.</w:t>
      </w:r>
    </w:p>
    <w:p>
      <w:r>
        <w:rPr>
          <w:b/>
          <w:sz w:val="19"/>
        </w:rPr>
        <w:t xml:space="preserve">Übertragbarkeit: </w:t>
      </w:r>
      <w:r>
        <w:rPr>
          <w:sz w:val="19"/>
        </w:rPr>
        <w:t>Deutschland – direkt anwendbar, deutsche Studiendaten, Nachwuchsproblem zentral</w:t>
      </w:r>
    </w:p>
    <w:p>
      <w:r>
        <w:rPr>
          <w:color w:val="5A7D3A"/>
          <w:sz w:val="18"/>
        </w:rPr>
        <w:t>https://pubmed.ncbi.nlm.nih.gov/42827239/</w:t>
      </w:r>
    </w:p>
    <w:p>
      <w:pPr>
        <w:pStyle w:val="Heading1"/>
      </w:pPr>
      <w:r>
        <w:t>Aufgenommen am 17.10.2026</w:t>
      </w:r>
    </w:p>
    <w:p>
      <w:pPr>
        <w:pStyle w:val="Heading2"/>
      </w:pPr>
      <w:r>
        <w:t>Infektionen in Pflegeheimen: Häufigkeit, Risikofaktoren und Antibiotikaverbrauch in Polen</w:t>
      </w:r>
    </w:p>
    <w:p>
      <w:r>
        <w:rPr>
          <w:i/>
          <w:color w:val="666666"/>
          <w:sz w:val="18"/>
        </w:rPr>
        <w:t>Jachowicz-Matczak E et al.  ·  J Infect Public Health  ·  28.09.2026  ·  PMID 42815319</w:t>
      </w:r>
    </w:p>
    <w:p>
      <w:r>
        <w:t>Prospektive Beobachtungsstudie über 20 Monate in fünf polnischen Pflegeheimen mit 250 Bewohnern zur Erfassung nosokomialer Infektionen.</w:t>
      </w:r>
    </w:p>
    <w:p>
      <w:r>
        <w:rPr>
          <w:b/>
        </w:rPr>
        <w:t xml:space="preserve">Ergebnis: </w:t>
      </w:r>
      <w:r>
        <w:t>194 healthcare-associated infections bei 137.537 Bewohnertagen (Inzidenz 1,41/1000 Bewohnertage); Atemwegsinfektionen am häufigsten (n=80 in 70 Patienten), Fallsterblichkeit gesamt 8,25 %, bei Atemwegsinfektionen 15,7 %. Antibiotikaverbrauch 10,70 Therapietage/1000 Bewohnertage. Atemwegsinfektionen assoziiert mit höherem Alter, Gebrechlichkeit und mangelnder Pneumokokkenimpfung.</w:t>
      </w:r>
    </w:p>
    <w:p>
      <w:r>
        <w:rPr>
          <w:b/>
          <w:sz w:val="19"/>
        </w:rPr>
        <w:t xml:space="preserve">Übertragbarkeit: </w:t>
      </w:r>
      <w:r>
        <w:rPr>
          <w:sz w:val="19"/>
        </w:rPr>
        <w:t>Polen, vergleichbare Pflegeheim-Infrastruktur und Dokumentation</w:t>
      </w:r>
    </w:p>
    <w:p>
      <w:r>
        <w:rPr>
          <w:color w:val="5A7D3A"/>
          <w:sz w:val="18"/>
        </w:rPr>
        <w:t>https://pubmed.ncbi.nlm.nih.gov/42815319/</w:t>
      </w:r>
    </w:p>
    <w:p>
      <w:pPr>
        <w:pStyle w:val="Heading1"/>
      </w:pPr>
      <w:r>
        <w:t>Aufgenommen am 16.10.2026</w:t>
      </w:r>
    </w:p>
    <w:p>
      <w:pPr>
        <w:pStyle w:val="Heading2"/>
      </w:pPr>
      <w:r>
        <w:t>Medikamentenselbstverwaltung bei Demenz: Co-Design-Intervention mit Angehörigen in England</w:t>
      </w:r>
    </w:p>
    <w:p>
      <w:r>
        <w:rPr>
          <w:i/>
          <w:color w:val="666666"/>
          <w:sz w:val="18"/>
        </w:rPr>
        <w:t>Powell C et al.  ·  Health Expect  ·  Okt. 2026  ·  PMID 42878217</w:t>
      </w:r>
    </w:p>
    <w:p>
      <w:r>
        <w:t>Qualitative Studie mit Experience-Based-Co-Design-Ansatz in Großbritannien zur Entwicklung einer psychosozialen Intervention (MAGNET) für die Medikamentenselbstverwaltung bei community-dweller mit leichter bis mittelschwerer Demenz und deren Angehörigen.</w:t>
      </w:r>
    </w:p>
    <w:p>
      <w:r>
        <w:rPr>
          <w:b/>
        </w:rPr>
        <w:t xml:space="preserve">Ergebnis: </w:t>
      </w:r>
      <w:r>
        <w:t>Co-designed-Intervention konzentriert sich auf fünf Prioritäten: Auswirkungen von Demenz auf Medikamentenorganisation; Medikamentenkenntnisse; verfügbare Hilfe; Personalisierung; Zukunftsplanung. Entwickelt: Leitfaden, Video, Erinnerungskarte für Person und Schulungs-/Implementierungsleitfaden für Fachkräfte mit Logik-Modell. Teilnehmer berichteten positive Erfahrungen: Rückgabe an Gemeinschaft, Lernen von und Unterstützung durch andere. Unmittelbare soziale Wirkung nachgewiesen.</w:t>
      </w:r>
    </w:p>
    <w:p>
      <w:r>
        <w:rPr>
          <w:b/>
          <w:sz w:val="19"/>
        </w:rPr>
        <w:t xml:space="preserve">Übertragbarkeit: </w:t>
      </w:r>
      <w:r>
        <w:rPr>
          <w:sz w:val="19"/>
        </w:rPr>
        <w:t>Großbritannien, vergleichbares System mit Pflegekassen-Aspekten</w:t>
      </w:r>
    </w:p>
    <w:p>
      <w:r>
        <w:rPr>
          <w:color w:val="5A7D3A"/>
          <w:sz w:val="18"/>
        </w:rPr>
        <w:t>https://pubmed.ncbi.nlm.nih.gov/42878217/</w:t>
      </w:r>
    </w:p>
    <w:p>
      <w:pPr>
        <w:pStyle w:val="Heading2"/>
      </w:pPr>
      <w:r>
        <w:t>Herausforderndes Verhalten und Schmerz in Heimen: Multidisziplinäre Methode mit Angehörigen wirksam</w:t>
      </w:r>
    </w:p>
    <w:p>
      <w:r>
        <w:rPr>
          <w:i/>
          <w:color w:val="666666"/>
          <w:sz w:val="18"/>
        </w:rPr>
        <w:t>Tasseron-Dries PEM et al.  ·  Int J Geriatr Psychiatry  ·  Okt. 2026  ·  PMID 42878126</w:t>
      </w:r>
    </w:p>
    <w:p>
      <w:r>
        <w:t>Niederländische Studie zur Wirkung der Methode STA OP! mit Familie auf schwieriges Verhalten und Schmerz bei demenzkranken Heimbewohnern in 10 Stationen mit 77 Bewohnern und ihren Angehörigen.</w:t>
      </w:r>
    </w:p>
    <w:p>
      <w:r>
        <w:rPr>
          <w:b/>
        </w:rPr>
        <w:t xml:space="preserve">Ergebnis: </w:t>
      </w:r>
      <w:r>
        <w:t>Schwieriges Verhalten sank signifikant nach 3 Monaten (standardisierter Koeffizient -0,2; 95%-KI -0,3 bis -0,04) und nach 6 Monaten (-0,2; 95%-KI -0,3 bis -0,03). Beobachtete Schmerzen zeigten Reduktion nach 6 Monaten (-0,2; 95%-KI -0,3 bis -0,004). Emotionale Belastung des Pflegepersonals sank signifikant (3 Monate: -0,3; 95%-KI -0,4 bis -0,1). Keine Veränderungen in Lebensqualität, Medikamentengebrauch oder Angehörigenerfahrungen.</w:t>
      </w:r>
    </w:p>
    <w:p>
      <w:r>
        <w:rPr>
          <w:b/>
          <w:sz w:val="19"/>
        </w:rPr>
        <w:t xml:space="preserve">Übertragbarkeit: </w:t>
      </w:r>
      <w:r>
        <w:rPr>
          <w:sz w:val="19"/>
        </w:rPr>
        <w:t>Niederlande, vergleichbares Pflegeheim-System und Versicherungsmodell</w:t>
      </w:r>
    </w:p>
    <w:p>
      <w:r>
        <w:rPr>
          <w:color w:val="5A7D3A"/>
          <w:sz w:val="18"/>
        </w:rPr>
        <w:t>https://pubmed.ncbi.nlm.nih.gov/42878126/</w:t>
      </w:r>
    </w:p>
    <w:p>
      <w:pPr>
        <w:pStyle w:val="Heading2"/>
      </w:pPr>
      <w:r>
        <w:t>Frühzeichen für Verschlechterung bei demenzkranken Heimbewohnern: Prognosemodell mit IPOS-Dem</w:t>
      </w:r>
    </w:p>
    <w:p>
      <w:r>
        <w:rPr>
          <w:i/>
          <w:color w:val="666666"/>
          <w:sz w:val="18"/>
        </w:rPr>
        <w:t>Serban S et al.  ·  Front Public Health  ·  30.09.2026  ·  PMID 42877224</w:t>
      </w:r>
    </w:p>
    <w:p>
      <w:r>
        <w:t>Sekundäranalyse longitudinaler Daten aus einer Schweizer randomisierten kontrollierten Studie (stepped wedge) mit 222 Heimbewohnern mit Demenz zur Vorhersage rezidivierender Verschlechterung mittels monatlichen IPOS-Dem-Messungen.</w:t>
      </w:r>
    </w:p>
    <w:p>
      <w:r>
        <w:rPr>
          <w:b/>
        </w:rPr>
        <w:t xml:space="preserve">Ergebnis: </w:t>
      </w:r>
      <w:r>
        <w:t>Von 2.107 Vorhersageepisoden verschlechterten sich 535 (25,4%), 72 von 222 Bewohnern (32,4%) zeigten rezidivierende Verschlechterung. Höhere mittlere DEBI (Emotional/Behavioral Impact) erhöhte Rezidivrisiko (OR 2,655; 95%-KI 1,382–5,101; p=0,003), ebenso höheres Alter (OR 1,055 pro Jahr; 95%-KI 1,006–1,107; p=0,027). Modellperformance: AUC 0,754; Brier 0,179. Serielle IPOS-Dem-Monitoring bot verwertbare Indikatoren für Level und Trajektorie.</w:t>
      </w:r>
    </w:p>
    <w:p>
      <w:r>
        <w:rPr>
          <w:b/>
          <w:sz w:val="19"/>
        </w:rPr>
        <w:t xml:space="preserve">Übertragbarkeit: </w:t>
      </w:r>
      <w:r>
        <w:rPr>
          <w:sz w:val="19"/>
        </w:rPr>
        <w:t>Schweiz, vergleichbares Pflegeheim-Versicherungssystem</w:t>
      </w:r>
    </w:p>
    <w:p>
      <w:r>
        <w:rPr>
          <w:color w:val="5A7D3A"/>
          <w:sz w:val="18"/>
        </w:rPr>
        <w:t>https://pubmed.ncbi.nlm.nih.gov/42877224/</w:t>
      </w:r>
    </w:p>
    <w:p>
      <w:pPr>
        <w:pStyle w:val="Heading2"/>
      </w:pPr>
      <w:r>
        <w:t>Psychische Gesundheit und ländliche Versorgung: Wissenslücken bei Haushaltsschwestern in Polen</w:t>
      </w:r>
    </w:p>
    <w:p>
      <w:r>
        <w:rPr>
          <w:i/>
          <w:color w:val="666666"/>
          <w:sz w:val="18"/>
        </w:rPr>
        <w:t>Pietrzak M et al.  ·  Front Public Health  ·  30.09.2026  ·  PMID 42876669</w:t>
      </w:r>
    </w:p>
    <w:p>
      <w:r>
        <w:t>Querschnittstudie mit 207 Haushaltsschwestern in Polen (Feb–Mai 2026) zu Level und Determinanten psychischer Gesundheitskompetenz (mental health literacy) mittels Mental Health Literacy Scale.</w:t>
      </w:r>
    </w:p>
    <w:p>
      <w:r>
        <w:rPr>
          <w:b/>
        </w:rPr>
        <w:t xml:space="preserve">Ergebnis: </w:t>
      </w:r>
      <w:r>
        <w:t>Mediane normalisierte Gesamtpunkte: 70,43%. Niedrigste Scores: Wissen über Risikofaktoren und Ursachen sowie Wissen über professionelle Hilfe (je 66,67%). Höchste: Erkennung von Störungen und Wissen, wie man mentale Gesundheitsinformation sucht (je 75%). Unabhängig assoziiert mit höheren Scores: jüngeres Alter, Wohnort in der Stadt, Familie/Bekannte mit psychischer Störung, beruflicher Kontakt zu Menschen mit Störungen. Negative Assoziation mit Alter und Dienstdauer bei erfahrenen Schwestern.</w:t>
      </w:r>
    </w:p>
    <w:p>
      <w:r>
        <w:rPr>
          <w:b/>
          <w:sz w:val="19"/>
        </w:rPr>
        <w:t xml:space="preserve">Übertragbarkeit: </w:t>
      </w:r>
      <w:r>
        <w:rPr>
          <w:sz w:val="19"/>
        </w:rPr>
        <w:t>Polen, europäisches Haushalts-Setting, ähnliche Primärversorgungsstruktur</w:t>
      </w:r>
    </w:p>
    <w:p>
      <w:r>
        <w:rPr>
          <w:color w:val="5A7D3A"/>
          <w:sz w:val="18"/>
        </w:rPr>
        <w:t>https://pubmed.ncbi.nlm.nih.gov/42876669/</w:t>
      </w:r>
    </w:p>
    <w:p>
      <w:pPr>
        <w:pStyle w:val="Heading2"/>
      </w:pPr>
      <w:r>
        <w:t>Psychosoziale Arbeitsbedingungen und Gesundheit: Schwestern berichten mehr Wohlbefinden als Ärzte</w:t>
      </w:r>
    </w:p>
    <w:p>
      <w:r>
        <w:rPr>
          <w:i/>
          <w:color w:val="666666"/>
          <w:sz w:val="18"/>
        </w:rPr>
        <w:t>Andruškienė J et al.  ·  Front Public Health  ·  30.09.2026  ·  PMID 42876522</w:t>
      </w:r>
    </w:p>
    <w:p>
      <w:r>
        <w:t>Litauische Querschnittstudie in einem tertiären Krankenhaus 2025 mit 497 Antworten (56% von 900) zu Zusammenhang psychosozialer Arbeitsbelastung mit salutogenem Wohlbefinden bei Schwestern (n=271) und Ärzten (n=226).</w:t>
      </w:r>
    </w:p>
    <w:p>
      <w:r>
        <w:rPr>
          <w:b/>
        </w:rPr>
        <w:t xml:space="preserve">Ergebnis: </w:t>
      </w:r>
      <w:r>
        <w:t>Schwestern berichteten signifikant höhere Werte als Ärzte: unterstützende Arbeitsbedingungen (77,6±17,7 vs. 69,7±20,0; p&lt;0,05), interne Arbeitserfahrung (81,1±14,4 vs. 77,8±15,2), Zeiterfahrung (76,1±20,9 vs. 59,6±23,6) und Wohlbefinden (SHIS: 74,1±19,2 vs. 62,7±17,2). Bei Schwestern assoziiert mit Wohlbefinden: interne Arbeitserfahrung (β=0,13; p=0,020), Zeiterfahrung (β=0,24; p&lt;0,001), Veränderungsprozess (β=0,43; p&lt;0,001). Modellgüte R²=0,512.</w:t>
      </w:r>
    </w:p>
    <w:p>
      <w:r>
        <w:rPr>
          <w:b/>
          <w:sz w:val="19"/>
        </w:rPr>
        <w:t xml:space="preserve">Übertragbarkeit: </w:t>
      </w:r>
      <w:r>
        <w:rPr>
          <w:sz w:val="19"/>
        </w:rPr>
        <w:t>Litauen, europäische Arbeitsbedingungen im Krankenhaus, ähnliche Qualifikation</w:t>
      </w:r>
    </w:p>
    <w:p>
      <w:r>
        <w:rPr>
          <w:color w:val="5A7D3A"/>
          <w:sz w:val="18"/>
        </w:rPr>
        <w:t>https://pubmed.ncbi.nlm.nih.gov/42876522/</w:t>
      </w:r>
    </w:p>
    <w:p>
      <w:pPr>
        <w:pStyle w:val="Heading2"/>
      </w:pPr>
      <w:r>
        <w:t>Komplexe Multimorbidität in der Hausbetreuung: Was Gemeindeschwestern können und worum sie ringen</w:t>
      </w:r>
    </w:p>
    <w:p>
      <w:r>
        <w:rPr>
          <w:i/>
          <w:color w:val="666666"/>
          <w:sz w:val="18"/>
        </w:rPr>
        <w:t>Lagerin A et al.  ·  BMC Prim Care  ·  09.10.2026  ·  PMID 42875741</w:t>
      </w:r>
    </w:p>
    <w:p>
      <w:r>
        <w:t>Qualitative Studie mit 15 Gemeindeschwestern in fünf Primärversorgungszentren Stockholms zu ihren Erfahrungen in der Versorgung älterer Menschen mit multipler Chronizität und psychischen Erkrankungen.</w:t>
      </w:r>
    </w:p>
    <w:p>
      <w:r>
        <w:rPr>
          <w:b/>
        </w:rPr>
        <w:t xml:space="preserve">Ergebnis: </w:t>
      </w:r>
      <w:r>
        <w:t>Zentrale Erkenntnisse: Schwestern fühlen sich kompetent, komplexe Patienten als ganzheitliche Person zu sehen, und sind bereit, Verantwortung zu übernehmen – jedoch nur, wenn Zeit, Unterstützung und strukturelle Voraussetzungen gegeben sind. Vier Subthemen: Komplexität als kohärente Person verstehen; Kompetenz für Patientenbedürfnisse; Primärversorgung sagt nicht nein, findet aber Lösungslücken; DN-Kompetenzen müssen sichtbar, definiert und begrenzt sein.</w:t>
      </w:r>
    </w:p>
    <w:p>
      <w:r>
        <w:rPr>
          <w:b/>
          <w:sz w:val="19"/>
        </w:rPr>
        <w:t xml:space="preserve">Übertragbarkeit: </w:t>
      </w:r>
      <w:r>
        <w:rPr>
          <w:sz w:val="19"/>
        </w:rPr>
        <w:t>Schweden, ähnliche Primärversorgungsstruktur und Versicherungssystem</w:t>
      </w:r>
    </w:p>
    <w:p>
      <w:r>
        <w:rPr>
          <w:color w:val="5A7D3A"/>
          <w:sz w:val="18"/>
        </w:rPr>
        <w:t>https://pubmed.ncbi.nlm.nih.gov/42875741/</w:t>
      </w:r>
    </w:p>
    <w:p>
      <w:pPr>
        <w:pStyle w:val="Heading1"/>
      </w:pPr>
      <w:r>
        <w:t>Aufgenommen am 15.10.2026</w:t>
      </w:r>
    </w:p>
    <w:p>
      <w:pPr>
        <w:pStyle w:val="Heading2"/>
      </w:pPr>
      <w:r>
        <w:t>Selbstwirksamkeit in der Palliativversorgung: Validierung einer Skala für Pflegekräfte</w:t>
      </w:r>
    </w:p>
    <w:p>
      <w:r>
        <w:rPr>
          <w:i/>
          <w:color w:val="666666"/>
          <w:sz w:val="18"/>
        </w:rPr>
        <w:t>Brink P et al.  ·  Int J Palliat Nurs  ·  02.10.2026  ·  PMID 42873720</w:t>
      </w:r>
    </w:p>
    <w:p>
      <w:r>
        <w:t>Querschnittstudie mit 168 Pflegekräften in kanadischen Langzeitpflegeeinrichtungen zur Validierung der Modified Self-Efficacy in Palliative Care Scale.</w:t>
      </w:r>
    </w:p>
    <w:p>
      <w:r>
        <w:rPr>
          <w:b/>
        </w:rPr>
        <w:t xml:space="preserve">Ergebnis: </w:t>
      </w:r>
      <w:r>
        <w:t>Die 12-Item-Version zeigte Cronbachs Alpha=0,828; die reduzierte 10-Item-Version Alpha=0,901. Exploratory Factor Analysis identifizierte drei Faktoren: Kommunikation, Patientenmanagement und multidisziplinäre Teamarbeit. Item-Gesamt-Korrelationen lagen zwischen 0,61 und 0,90. Faktorladungen &gt;0,60.</w:t>
      </w:r>
    </w:p>
    <w:p>
      <w:r>
        <w:rPr>
          <w:b/>
          <w:sz w:val="19"/>
        </w:rPr>
        <w:t xml:space="preserve">Übertragbarkeit: </w:t>
      </w:r>
      <w:r>
        <w:rPr>
          <w:sz w:val="19"/>
        </w:rPr>
        <w:t>Kanada, vergleichbare Langzeitpflegestruktur; Instrument könnte in Deutschland getestet werden.</w:t>
      </w:r>
    </w:p>
    <w:p>
      <w:r>
        <w:rPr>
          <w:color w:val="5A7D3A"/>
          <w:sz w:val="18"/>
        </w:rPr>
        <w:t>https://pubmed.ncbi.nlm.nih.gov/42873720/</w:t>
      </w:r>
    </w:p>
    <w:p>
      <w:pPr>
        <w:pStyle w:val="Heading2"/>
      </w:pPr>
      <w:r>
        <w:t>Akupunktur bei Demenz im Pflegeheim: Wirkung auf Funktionsfähigkeit und Symptome</w:t>
      </w:r>
    </w:p>
    <w:p>
      <w:r>
        <w:rPr>
          <w:i/>
          <w:color w:val="666666"/>
          <w:sz w:val="18"/>
        </w:rPr>
        <w:t>Chan MY et al.  ·  Age Ageing  ·  03.08.2026  ·  PMID 42870555</w:t>
      </w:r>
    </w:p>
    <w:p>
      <w:r>
        <w:t>Randomisierte Studie mit 118 älteren Menschen mit Demenz in 19 Wohnheimen Hongkongs; 59 erhielten 12 Wochen Akupunktur zusätzlich zur Standardversorgung, 59 nur Standardversorgung.</w:t>
      </w:r>
    </w:p>
    <w:p>
      <w:r>
        <w:rPr>
          <w:b/>
        </w:rPr>
        <w:t xml:space="preserve">Ergebnis: </w:t>
      </w:r>
      <w:r>
        <w:t>Kognition (Montreal Cognitive Assessment) zeigte keine signifikante Verbesserung. Funktionelle Unabhängigkeit (Modifizierter Barthel-Index) verbesserte sich durch Akupunktur um 4,12 Punkte (95%-KI: 0,81–7,44; p=0,015, standardisierte Effektgröße=0,29). Schlaf, Schmerz und depressive Symptome zeigten keine signifikanten Unterschiede. Nebenwirkungen waren mild.</w:t>
      </w:r>
    </w:p>
    <w:p>
      <w:r>
        <w:rPr>
          <w:b/>
          <w:sz w:val="19"/>
        </w:rPr>
        <w:t xml:space="preserve">Übertragbarkeit: </w:t>
      </w:r>
      <w:r>
        <w:rPr>
          <w:sz w:val="19"/>
        </w:rPr>
        <w:t>Hongkong, vergleichbare Altenversorgung; Übertragbarkeit der Akupunkturmethodik auf deutsche Heime wäre zu prüfen.</w:t>
      </w:r>
    </w:p>
    <w:p>
      <w:r>
        <w:rPr>
          <w:color w:val="5A7D3A"/>
          <w:sz w:val="18"/>
        </w:rPr>
        <w:t>https://pubmed.ncbi.nlm.nih.gov/42870555/</w:t>
      </w:r>
    </w:p>
    <w:p>
      <w:pPr>
        <w:pStyle w:val="Heading2"/>
      </w:pPr>
      <w:r>
        <w:t>Pflegepersonalausstattung und Bewohnerergebnisse: Was die Evidenz über Personalquoten aussagt</w:t>
      </w:r>
    </w:p>
    <w:p>
      <w:r>
        <w:rPr>
          <w:i/>
          <w:color w:val="666666"/>
          <w:sz w:val="18"/>
        </w:rPr>
        <w:t>Almazan J et al.  ·  J Nurs Manag  ·  2026  ·  PMID 42870353</w:t>
      </w:r>
    </w:p>
    <w:p>
      <w:r>
        <w:t>Scoping Review nach JBI-Anleitung über 20 Primärstudien zu Pflegepersonalausstattung (RN-spezifisch), Workload-Indikatoren und Bewohnerergebnisse in Pflegeheimen (bis September 2026).</w:t>
      </w:r>
    </w:p>
    <w:p>
      <w:r>
        <w:rPr>
          <w:b/>
        </w:rPr>
        <w:t xml:space="preserve">Ergebnis: </w:t>
      </w:r>
      <w:r>
        <w:t>Höhere RN-Verfügbarkeit und günstigere Arbeitsumgebung waren generell mit besseren Bewohnerergebnissen assoziiert; Befunde variierten nach Outcome-Typ, Timing, Personalausstattung und Organisationskontext. Universelle RN-Personalquote nicht etabliert; Evidenz überwiegend observational.</w:t>
      </w:r>
    </w:p>
    <w:p>
      <w:r>
        <w:rPr>
          <w:b/>
          <w:sz w:val="19"/>
        </w:rPr>
        <w:t xml:space="preserve">Übertragbarkeit: </w:t>
      </w:r>
      <w:r>
        <w:rPr>
          <w:sz w:val="19"/>
        </w:rPr>
        <w:t>Primär anglophone Heime; zeigt: Staffing-Ratios allein abbilden nicht Komplexität, Kontinuität oder Arbeitsdichte.</w:t>
      </w:r>
    </w:p>
    <w:p>
      <w:r>
        <w:rPr>
          <w:color w:val="5A7D3A"/>
          <w:sz w:val="18"/>
        </w:rPr>
        <w:t>https://pubmed.ncbi.nlm.nih.gov/42870353/</w:t>
      </w:r>
    </w:p>
    <w:p>
      <w:pPr>
        <w:pStyle w:val="Heading2"/>
      </w:pPr>
      <w:r>
        <w:t>Fehlerkultur durch Storytelling: Narrative Lerninterventionen für Pflegekräfte</w:t>
      </w:r>
    </w:p>
    <w:p>
      <w:r>
        <w:rPr>
          <w:i/>
          <w:color w:val="666666"/>
          <w:sz w:val="18"/>
        </w:rPr>
        <w:t>Adel-Mehraban M et al.  ·  Health Res Policy Syst  ·  05.10.2026  ·  PMID 42870259</w:t>
      </w:r>
    </w:p>
    <w:p>
      <w:r>
        <w:t>Quasiexperimentelle Studie mit 64 Pflegekräften (32 Intervention, 32 Kontrolle) in einem iranischen Krankenhaus; Interventionsgruppe erhielt 6 Storytelling-Sitzungen (je 1,5h) über 3 Monate basierend auf Fehlervorfällen des Hauses.</w:t>
      </w:r>
    </w:p>
    <w:p>
      <w:r>
        <w:rPr>
          <w:b/>
        </w:rPr>
        <w:t xml:space="preserve">Ergebnis: </w:t>
      </w:r>
      <w:r>
        <w:t>Patient Safety Culture (Hospital Survey on Patient Safety Culture) stieg in der Interventionsgruppe signifikant stärker als in Kontrolle (p&lt;0,001). Effektgröße=0,159 (substanziell, &gt;0,08). Größter Impact auf Dimension 'Training und Fähigkeiten' (ES=0,185), kleinster auf Dimension 'Personal' (ES=0,049).</w:t>
      </w:r>
    </w:p>
    <w:p>
      <w:r>
        <w:rPr>
          <w:b/>
          <w:sz w:val="19"/>
        </w:rPr>
        <w:t xml:space="preserve">Übertragbarkeit: </w:t>
      </w:r>
      <w:r>
        <w:rPr>
          <w:sz w:val="19"/>
        </w:rPr>
        <w:t>Iran, andere Gesundheitssystemstruktur; Prinzip der narrativen Fehleraufarbeitung ist systemübergreifend anwendbar.</w:t>
      </w:r>
    </w:p>
    <w:p>
      <w:r>
        <w:rPr>
          <w:color w:val="5A7D3A"/>
          <w:sz w:val="18"/>
        </w:rPr>
        <w:t>https://pubmed.ncbi.nlm.nih.gov/42870259/</w:t>
      </w:r>
    </w:p>
    <w:p>
      <w:pPr>
        <w:pStyle w:val="Heading2"/>
      </w:pPr>
      <w:r>
        <w:t>Pflegepersonalentwicklung nach Bildungsreform: Was Reformdruck mit Personalausstattung bewirkt</w:t>
      </w:r>
    </w:p>
    <w:p>
      <w:r>
        <w:rPr>
          <w:i/>
          <w:color w:val="666666"/>
          <w:sz w:val="18"/>
        </w:rPr>
        <w:t>Ospanova D et al.  ·  Front Public Health  ·  28.09.2026  ·  PMID 42865703</w:t>
      </w:r>
    </w:p>
    <w:p>
      <w:r>
        <w:t>Zeitreihenanalyse mit administrativen Daten (2003–2024) zur Pflegepersonaldichte pro 10.000 Einwohner in Kasachstan vor und nach Einführung eines Applied-Bachelor-Programms 2014.</w:t>
      </w:r>
    </w:p>
    <w:p>
      <w:r>
        <w:rPr>
          <w:b/>
        </w:rPr>
        <w:t xml:space="preserve">Ergebnis: </w:t>
      </w:r>
      <w:r>
        <w:t>Pflegepersonaldichte stieg von 77,4 (2003) auf Peak 101,2 (2012), dann Stabilisierung bei 93,3–100,0 (2024). Strukturelle Wendepunkt bei ~2012 (95%-KI: 2010–2014), 2 Jahre VOR der Reform. GLS-Modell zeigte bei 2014 Level Change: −5,45 (p=0,001) und Slope Change: −2,16 pro Jahr (p&lt;0,001). Pflegekräfte-zu-Ärzte-Ratio sank von 2,62 (2012) auf 2,30 (2024), unter WHO-Empfehlung 3:1. Prognose: 111,0 pro 10.000 bis 2035.</w:t>
      </w:r>
    </w:p>
    <w:p>
      <w:r>
        <w:rPr>
          <w:b/>
          <w:sz w:val="19"/>
        </w:rPr>
        <w:t xml:space="preserve">Übertragbarkeit: </w:t>
      </w:r>
      <w:r>
        <w:rPr>
          <w:sz w:val="19"/>
        </w:rPr>
        <w:t>Zentralasien, anderes Ausgangssystem; Befund zeigt: Bildungsreform allein stabilisiert nicht bei Personalabbau.</w:t>
      </w:r>
    </w:p>
    <w:p>
      <w:r>
        <w:rPr>
          <w:color w:val="5A7D3A"/>
          <w:sz w:val="18"/>
        </w:rPr>
        <w:t>https://pubmed.ncbi.nlm.nih.gov/42865703/</w:t>
      </w:r>
    </w:p>
    <w:p>
      <w:pPr>
        <w:pStyle w:val="Heading2"/>
      </w:pPr>
      <w:r>
        <w:t>Informelle Pflege und Herz-Kreislauf-Gesundheit: Schutzeffekt oder Selektionseffekt?</w:t>
      </w:r>
    </w:p>
    <w:p>
      <w:r>
        <w:rPr>
          <w:i/>
          <w:color w:val="666666"/>
          <w:sz w:val="18"/>
        </w:rPr>
        <w:t>Cervigón R et al.  ·  PLoS One  ·  09.10.2026  ·  PMID 42853871</w:t>
      </w:r>
    </w:p>
    <w:p>
      <w:r>
        <w:t>Querschnittsanalyse von 62.881 Personen (50–84 Jahre) aus 28 europäischen Ländern (SHARE 2021–2022) mit logistischer Regression zu Assoziation zwischen informeller außerhäuslicher Betreuung und selbstberichteter kardiovaskulärer Erkrankung.</w:t>
      </w:r>
    </w:p>
    <w:p>
      <w:r>
        <w:rPr>
          <w:b/>
        </w:rPr>
        <w:t xml:space="preserve">Ergebnis: </w:t>
      </w:r>
      <w:r>
        <w:t>Unter 16.178 informellen Betreuern (25,7%) Prävalenz kardiovaskulärer Erkrankung 8,8% vs. 12,8% bei Nicht-Betreuern. Im confounding-adjustierten Modell: OR=0,85 (95%-KI: 0,78–0,93) für niedrigeres Risiko durch Betreuung. E-Wert=1,39 (Robustheit gegenüber unmessbarer Verwirrung begrenzt). Assoziation persistierte nach Ausschluss von Pflegeempfängern und Personen mit funktionalen Einschränkungen, schwächte sich ab nach Ausschluss schlechter Selbstgesundheitseinschätzung. Befund legt Selektionseffekt nahe, keine Kausalität etablierbar.</w:t>
      </w:r>
    </w:p>
    <w:p>
      <w:r>
        <w:rPr>
          <w:b/>
          <w:sz w:val="19"/>
        </w:rPr>
        <w:t xml:space="preserve">Übertragbarkeit: </w:t>
      </w:r>
      <w:r>
        <w:rPr>
          <w:sz w:val="19"/>
        </w:rPr>
        <w:t>27 europäische Länder (SHARE); vergleichbare Langzeitversorgungslandschaft; Befund warnt vor Überschätzung des 'Pflegenschutzes'.</w:t>
      </w:r>
    </w:p>
    <w:p>
      <w:r>
        <w:rPr>
          <w:color w:val="5A7D3A"/>
          <w:sz w:val="18"/>
        </w:rPr>
        <w:t>https://pubmed.ncbi.nlm.nih.gov/42853871/</w:t>
      </w:r>
    </w:p>
    <w:p>
      <w:pPr>
        <w:pStyle w:val="Heading2"/>
      </w:pPr>
      <w:r>
        <w:t>Haltung zu spiritueller Versorgung: Was sich in 20 Jahren in einer Onkologieklinik änderte</w:t>
      </w:r>
    </w:p>
    <w:p>
      <w:r>
        <w:rPr>
          <w:i/>
          <w:color w:val="666666"/>
          <w:sz w:val="18"/>
        </w:rPr>
        <w:t>Lundmark M et al.  ·  J Nurs Manag  ·  2026  ·  PMID 42808290</w:t>
      </w:r>
    </w:p>
    <w:p>
      <w:r>
        <w:t>Längsschnitt-Fragebogenstudie einer schwedischen Onkologieklinik 2003 und 2023 (20 Jahre); getestete Assoziation zwischen persönlichen Merkmalen (Religiosität, Glaube) und Haltung zu spiritueller Versorgung von Krebspatienten.</w:t>
      </w:r>
    </w:p>
    <w:p>
      <w:r>
        <w:rPr>
          <w:b/>
        </w:rPr>
        <w:t xml:space="preserve">Ergebnis: </w:t>
      </w:r>
      <w:r>
        <w:t>Pflegekräfte äußerten positive Haltung zu spiritueller Versorgung in beiden Befragungen. 2023 mehr Personal betrachtete Spiritualbedarf als relevant (Unterschied nicht beziffert). Keine großen Unterschiede in Selbsteinschätzung von Häufigkeit, Fähigkeit und Häufigkeit spiritueller Versorgungserbringung. Bildung darin 2003 wie 2023 als wichtig beurteilt, aber Weiterbildungsquote 2023 gesunken. Einflussfaktoren: 'organisierte Religiosität' 2003 mit Fähigkeit assoziiert (signifikant), 'nicht-organisierte Religiosität' 2023 mit Fähigkeit assoziiert (signifikant). Weitere Faktoren von 2003 verloren Relevanz bis 2023.</w:t>
      </w:r>
    </w:p>
    <w:p>
      <w:r>
        <w:rPr>
          <w:b/>
          <w:sz w:val="19"/>
        </w:rPr>
        <w:t xml:space="preserve">Übertragbarkeit: </w:t>
      </w:r>
      <w:r>
        <w:rPr>
          <w:sz w:val="19"/>
        </w:rPr>
        <w:t>Schweden, langzeitliche Perspektive; zeigt: gesellschaftliche Säkularisierung formt Pflegefachkulturen um.</w:t>
      </w:r>
    </w:p>
    <w:p>
      <w:r>
        <w:rPr>
          <w:color w:val="5A7D3A"/>
          <w:sz w:val="18"/>
        </w:rPr>
        <w:t>https://pubmed.ncbi.nlm.nih.gov/42808290/</w:t>
      </w:r>
    </w:p>
    <w:p>
      <w:pPr>
        <w:pStyle w:val="Heading1"/>
      </w:pPr>
      <w:r>
        <w:t>Aufgenommen am 14.10.2026</w:t>
      </w:r>
    </w:p>
    <w:p>
      <w:pPr>
        <w:pStyle w:val="Heading2"/>
      </w:pPr>
      <w:r>
        <w:t>Soziale Unterstützung und Widerstandskraft: wie sie die Belastung pflegender Eltern mindert</w:t>
      </w:r>
    </w:p>
    <w:p>
      <w:r>
        <w:rPr>
          <w:i/>
          <w:color w:val="666666"/>
          <w:sz w:val="18"/>
        </w:rPr>
        <w:t>Hong W et al.  ·  Nurs Open  ·  Okt. 2026  ·  PMID 42868269</w:t>
      </w:r>
    </w:p>
    <w:p>
      <w:r>
        <w:t>Chinesische Querschnittsstudie mit 233 Eltern von Kindern mit Frakturen untersuchte, ob Resilienz einen indirekten Weg zwischen sozialer Unterstützung und Pflegebelastung vermittelt.</w:t>
      </w:r>
    </w:p>
    <w:p>
      <w:r>
        <w:rPr>
          <w:b/>
        </w:rPr>
        <w:t xml:space="preserve">Ergebnis: </w:t>
      </w:r>
      <w:r>
        <w:t>Größere soziale Unterstützung war mit höherer Resilienz verbunden (Pearson r signifikant positiv) und niedriger Pflegebelastung (r signifikant negativ). Höhere Resilienz war mit niedrigerer Belastung assoziiert. Strukturgleichungsmodell bestätigte indirekte Assoziation durch Resilienz neben direkter Assoziation zwischen Unterstützung und Belastung.</w:t>
      </w:r>
    </w:p>
    <w:p>
      <w:r>
        <w:rPr>
          <w:b/>
          <w:sz w:val="19"/>
        </w:rPr>
        <w:t xml:space="preserve">Übertragbarkeit: </w:t>
      </w:r>
      <w:r>
        <w:rPr>
          <w:sz w:val="19"/>
        </w:rPr>
        <w:t>China, Querschnittsdaten – keine Kausalität nachgewiesen, aber Befund für Assessmentpraxis relevant</w:t>
      </w:r>
    </w:p>
    <w:p>
      <w:r>
        <w:rPr>
          <w:color w:val="5A7D3A"/>
          <w:sz w:val="18"/>
        </w:rPr>
        <w:t>https://pubmed.ncbi.nlm.nih.gov/42868269/</w:t>
      </w:r>
    </w:p>
    <w:p>
      <w:pPr>
        <w:pStyle w:val="Heading2"/>
      </w:pPr>
      <w:r>
        <w:t>Palliativversorgung bei Lungenfibrose: was Patienten und Angehörige brauchen</w:t>
      </w:r>
    </w:p>
    <w:p>
      <w:r>
        <w:rPr>
          <w:i/>
          <w:color w:val="666666"/>
          <w:sz w:val="18"/>
        </w:rPr>
        <w:t>Trapman L et al.  ·  PLoS One  ·  13.10.2026  ·  PMID 42868117</w:t>
      </w:r>
    </w:p>
    <w:p>
      <w:r>
        <w:t>Niederländische qualitative Studie mit 15 Patienten und 10 informellen Betreuern mittels Fokusgruppen und Einzelinterviews zur Erkundung von Erfahrungen und Bedarfen der Palliativversorgung.</w:t>
      </w:r>
    </w:p>
    <w:p>
      <w:r>
        <w:rPr>
          <w:b/>
        </w:rPr>
        <w:t xml:space="preserve">Ergebnis: </w:t>
      </w:r>
      <w:r>
        <w:t>Zwei übergeordnete Themen mit je zwei Unterthemen: (1) ‚Sieh mich als Person' – Patienten suchen Anerkennung jenseits ihrer Krankheit, Empathie, offene Kommunikation, ganzheitliche Versorgung; (2) ‚Leite mich durch die Krankenheitsgeschichte' – Patienten und Angehörige brauchen klare Orientierung und Unterstützung vom Zeitpunkt der Diagnose bis zum Lebensende, einschließlich emotionaler, praktischer und logistischer Aspekte. Lücken in der Versorgung werden offenbar.</w:t>
      </w:r>
    </w:p>
    <w:p>
      <w:r>
        <w:rPr>
          <w:b/>
          <w:sz w:val="19"/>
        </w:rPr>
        <w:t xml:space="preserve">Übertragbarkeit: </w:t>
      </w:r>
      <w:r>
        <w:rPr>
          <w:sz w:val="19"/>
        </w:rPr>
        <w:t>Niederlande, vergleichbares Versicherungssystem; qualitativ, aber mit präzisen klinischen Implikationen</w:t>
      </w:r>
    </w:p>
    <w:p>
      <w:r>
        <w:rPr>
          <w:color w:val="5A7D3A"/>
          <w:sz w:val="18"/>
        </w:rPr>
        <w:t>https://pubmed.ncbi.nlm.nih.gov/42868117/</w:t>
      </w:r>
    </w:p>
    <w:p>
      <w:pPr>
        <w:pStyle w:val="Heading2"/>
      </w:pPr>
      <w:r>
        <w:t>Häusliche Pflege für Kinder mit Atemunterstützung: wie Fachkräfte zwischen Regeln und Bedarf vermitteln</w:t>
      </w:r>
    </w:p>
    <w:p>
      <w:r>
        <w:rPr>
          <w:i/>
          <w:color w:val="666666"/>
          <w:sz w:val="18"/>
        </w:rPr>
        <w:t>Florén J et al.  ·  Nurs Inq  ·  Okt. 2026  ·  PMID 42867312</w:t>
      </w:r>
    </w:p>
    <w:p>
      <w:r>
        <w:t>Schwedische phänomenologisch-hermeneutische Studie mit Interviews zu Erfahrungen von Fachleuten (in Sozialwesen, Gesundheit), die Entscheidungen zum Entlassmanagement und zur Umsetzung häuslicher Versorgung von Kindern mit invasiver Atemunterstützung koordinieren.</w:t>
      </w:r>
    </w:p>
    <w:p>
      <w:r>
        <w:rPr>
          <w:b/>
        </w:rPr>
        <w:t xml:space="preserve">Ergebnis: </w:t>
      </w:r>
      <w:r>
        <w:t>Vier übergeordnete Befunde: (1) Arbeit wird gelebt in Spannungen zwischen Mitgefühl und Regulation, Nähe und Distanz, andauerndem Bedarf und endlichen Ressourcen; (2) formale Sprache, legale Kategorien und organisatorische Grenzen sind zugleich Ermöglichungsstruktur und Begrenzung; (3) Verantwortung zeigt sich als exponiert, über den Entscheidungsmoment hinaus ausgedehnt in ein anderswo sich entfaltendes Leben; (4) Institutionen müssen nicht nur Gerechtigkeit, sondern auch gute Versorgung ermöglichen.</w:t>
      </w:r>
    </w:p>
    <w:p>
      <w:r>
        <w:rPr>
          <w:b/>
          <w:sz w:val="19"/>
        </w:rPr>
        <w:t xml:space="preserve">Übertragbarkeit: </w:t>
      </w:r>
      <w:r>
        <w:rPr>
          <w:sz w:val="19"/>
        </w:rPr>
        <w:t>Schweden, empirisch-qualitativ; Befund zu Systemspannungen zwischen Regulation und guter Pflege universell</w:t>
      </w:r>
    </w:p>
    <w:p>
      <w:r>
        <w:rPr>
          <w:color w:val="5A7D3A"/>
          <w:sz w:val="18"/>
        </w:rPr>
        <w:t>https://pubmed.ncbi.nlm.nih.gov/42867312/</w:t>
      </w:r>
    </w:p>
    <w:p>
      <w:pPr>
        <w:pStyle w:val="Heading2"/>
      </w:pPr>
      <w:r>
        <w:t>Krankenhausqualität, Führungsansprache und moralische Belastung von Pflegenden: wie Leadership Distress mindert</w:t>
      </w:r>
    </w:p>
    <w:p>
      <w:r>
        <w:rPr>
          <w:i/>
          <w:color w:val="666666"/>
          <w:sz w:val="18"/>
        </w:rPr>
        <w:t>Yu H et al.  ·  J Nurs Scholarsh  ·  Nov. 2026  ·  PMID 42867062</w:t>
      </w:r>
    </w:p>
    <w:p>
      <w:r>
        <w:t>US-amerikanische Querschnittsstudie mit 18.678 direkten Pflegekräften aus 1.829 Krankenhäusern in zehn Bundesstaaten untersuchte, ob Ansprechbarkeit des Managements bei Patientenversorgungsanliegen den Zusammenhang zwischen Magnet-Status der Klinik und moralischer Belastung (Moral Distress) vermittelt.</w:t>
      </w:r>
    </w:p>
    <w:p>
      <w:r>
        <w:rPr>
          <w:b/>
        </w:rPr>
        <w:t xml:space="preserve">Ergebnis: </w:t>
      </w:r>
      <w:r>
        <w:t>Pflegefachkräfte in Magnet-Krankenhäusern berichteten niedrigere moralische Belastung und bessere Einschätzung der Managementerreichbarkeit als Kolleginnen in Nicht-Magnet-Häusern. Auf Krankenhausebene: Magnet-Status mit höherer Managementerreichbarkeit assoziiert (b=0,18, 95%-CI 0,15–0,21, p&lt;0,001); höhere Managementerreichbarkeit mit niedrigerem Moral Distress (b=−0,31, 95%-CI −0,39 bis −0,23, p&lt;0,001). Managementerreichbarkeit vermittelte statistisch signifikant einen Teil der Assoziation zwischen Magnet-Status und Moral Distress (indirekte Assoziation: b=−0,06, Monte-Carlo 95%-CI −0,08 bis −0,04, p&lt;0,001).</w:t>
      </w:r>
    </w:p>
    <w:p>
      <w:r>
        <w:rPr>
          <w:b/>
          <w:sz w:val="19"/>
        </w:rPr>
        <w:t xml:space="preserve">Übertragbarkeit: </w:t>
      </w:r>
      <w:r>
        <w:rPr>
          <w:sz w:val="19"/>
        </w:rPr>
        <w:t>USA – aber Leadership-Responsiveness und Moral Distress sind systemübergreifende Phänomene; deutsches Äquivalent: Anerkennung durch Vorgesetzte</w:t>
      </w:r>
    </w:p>
    <w:p>
      <w:r>
        <w:rPr>
          <w:color w:val="5A7D3A"/>
          <w:sz w:val="18"/>
        </w:rPr>
        <w:t>https://pubmed.ncbi.nlm.nih.gov/42867062/</w:t>
      </w:r>
    </w:p>
    <w:p>
      <w:pPr>
        <w:pStyle w:val="Heading2"/>
      </w:pPr>
      <w:r>
        <w:t>Schwangerschaftsverlust bei Hebammen und Entbindungspflegerinnen: Erleben, Trauer und Rückkehr zur Arbeit</w:t>
      </w:r>
    </w:p>
    <w:p>
      <w:r>
        <w:rPr>
          <w:i/>
          <w:color w:val="666666"/>
          <w:sz w:val="18"/>
        </w:rPr>
        <w:t>Abuhammad S et al.  ·  Nurs Open  ·  Okt. 2026  ·  PMID 42864828</w:t>
      </w:r>
    </w:p>
    <w:p>
      <w:r>
        <w:t>Qualitative phänomenologische Studie mit 20 Hebammen und Entbindungspflegerinnen in Jordanien, die einen Schwangerschaftsverlust erlebt hatten, untersuchte die Auswirkungen auf ihre Berufstätigkeit, Trauer und Entscheidungen zur zukünftigen Schwangerschaft.</w:t>
      </w:r>
    </w:p>
    <w:p>
      <w:r>
        <w:rPr>
          <w:b/>
        </w:rPr>
        <w:t xml:space="preserve">Ergebnis: </w:t>
      </w:r>
      <w:r>
        <w:t>Vier Themen: ungerwarteter Verlust, körperlich-psychisches Leiden, Trauer während der Pflegearbeit (Schwierigkeiten mit Offenbarung und Kollegenstützung), Versuch, erneut schwanger zu werden – mit Angst. Die Studie zeigt, dass Fachkräfte in denselben Kliniken arbeiten müssen, die ihren Verlust widerspiegeln – Arbeitsflexibilität, Kollegenstützung und kulturell sensible Anerkennung der Trauer sind essentiell.</w:t>
      </w:r>
    </w:p>
    <w:p>
      <w:r>
        <w:rPr>
          <w:b/>
          <w:sz w:val="19"/>
        </w:rPr>
        <w:t xml:space="preserve">Übertragbarkeit: </w:t>
      </w:r>
      <w:r>
        <w:rPr>
          <w:sz w:val="19"/>
        </w:rPr>
        <w:t>Jordanien, qualitatives Design; Befunde zur Unterstützung berufstätiger Pflegender nach Trauer übertragbar</w:t>
      </w:r>
    </w:p>
    <w:p>
      <w:r>
        <w:rPr>
          <w:color w:val="5A7D3A"/>
          <w:sz w:val="18"/>
        </w:rPr>
        <w:t>https://pubmed.ncbi.nlm.nih.gov/42864828/</w:t>
      </w:r>
    </w:p>
    <w:p>
      <w:pPr>
        <w:pStyle w:val="Heading2"/>
      </w:pPr>
      <w:r>
        <w:t>Psychoedukation für Angehörige bei Erstmanifestationen: Entlastungswirkung durch spezialisierte Pflegefachkräfte</w:t>
      </w:r>
    </w:p>
    <w:p>
      <w:r>
        <w:rPr>
          <w:i/>
          <w:color w:val="666666"/>
          <w:sz w:val="18"/>
        </w:rPr>
        <w:t>Caroline D et al.  ·  Int J Ment Health Nurs  ·  Okt. 2026  ·  PMID 42861836</w:t>
      </w:r>
    </w:p>
    <w:p>
      <w:r>
        <w:t>Französische Studie mit schrittweise randomisiertem Design prüfte, ob ein strukturiertes Unterstützungsprogramm (Einzelfamilien- und Multifamilien-Psychoedukation) unter Koordination von Advanced Practice Nurses die Belastung pflegender Angehöriger bei Patienten mit Erstmanifestation einer Psychose innerhalb von 6 Monaten reduziert.</w:t>
      </w:r>
    </w:p>
    <w:p>
      <w:r>
        <w:rPr>
          <w:b/>
        </w:rPr>
        <w:t xml:space="preserve">Ergebnis: </w:t>
      </w:r>
      <w:r>
        <w:t>Hauptergebnis wird in diesem Protokoll noch nicht berichtet; die Studie ist registriert (NCT07041463) und wird derzeit durchgeführt. Geplante Messung: Veränderung der Angehörigenbelastung von Baseline bis 6 Monate.</w:t>
      </w:r>
    </w:p>
    <w:p>
      <w:r>
        <w:rPr>
          <w:b/>
          <w:sz w:val="19"/>
        </w:rPr>
        <w:t xml:space="preserve">Übertragbarkeit: </w:t>
      </w:r>
      <w:r>
        <w:rPr>
          <w:sz w:val="19"/>
        </w:rPr>
        <w:t>Frankreich, vergleichbares Versicherungssystem, spezialisierte Pflegefachkräfte in psychiatrischen Diensten</w:t>
      </w:r>
    </w:p>
    <w:p>
      <w:r>
        <w:rPr>
          <w:color w:val="5A7D3A"/>
          <w:sz w:val="18"/>
        </w:rPr>
        <w:t>https://pubmed.ncbi.nlm.nih.gov/42861836/</w:t>
      </w:r>
    </w:p>
    <w:p>
      <w:pPr>
        <w:pStyle w:val="Heading1"/>
      </w:pPr>
      <w:r>
        <w:t>Aufgenommen am 13.10.2026</w:t>
      </w:r>
    </w:p>
    <w:p>
      <w:pPr>
        <w:pStyle w:val="Heading2"/>
      </w:pPr>
      <w:r>
        <w:t>Heimbasierte Herzrehabilitation erhöht Teilnahmequoten: Effekte in der US-Veteranenpflege</w:t>
      </w:r>
    </w:p>
    <w:p>
      <w:r>
        <w:rPr>
          <w:i/>
          <w:color w:val="666666"/>
          <w:sz w:val="18"/>
        </w:rPr>
        <w:t>Park LG et al.  ·  JAMA Netw Open  ·  01.10.2026  ·  PMID 42862558</w:t>
      </w:r>
    </w:p>
    <w:p>
      <w:r>
        <w:t>Kohortenstudie zur Teilnahme an Herzrehabilitationsprogrammen bei 405.907 Veteranen mit Herzerkrankungen, verglichen nach Verfügbarkeit von Center-based oder Home-based Angeboten.</w:t>
      </w:r>
    </w:p>
    <w:p>
      <w:r>
        <w:rPr>
          <w:b/>
        </w:rPr>
        <w:t xml:space="preserve">Ergebnis: </w:t>
      </w:r>
      <w:r>
        <w:t>Heimbasierte Programme (HBCR) erhöhten die Teilnahmequote auf 20,0 % gegenüber 14,8 % bei Center-based und 14,3 % bei reiner Überweisung in Gemeindeangebote (adjustierte Odds Ratio HBCR: 1,80; 95%-KI: 1,75–1,84). Die Gesamtteilnahmequote stieg von 9,6 % (2012) auf 17,1 % (2022). Ein Hinweis auf höhere Partizipation durch Flexibilität bei der Angebotsform.</w:t>
      </w:r>
    </w:p>
    <w:p>
      <w:r>
        <w:rPr>
          <w:b/>
          <w:sz w:val="19"/>
        </w:rPr>
        <w:t xml:space="preserve">Übertragbarkeit: </w:t>
      </w:r>
      <w:r>
        <w:rPr>
          <w:sz w:val="19"/>
        </w:rPr>
        <w:t>USA-Veteranensystem; Übertragbarkeit der Flexibilisierungsstrategie auf deutsche Krankenkassen-Rehabilitationen zu prüfen.</w:t>
      </w:r>
    </w:p>
    <w:p>
      <w:r>
        <w:rPr>
          <w:color w:val="5A7D3A"/>
          <w:sz w:val="18"/>
        </w:rPr>
        <w:t>https://pubmed.ncbi.nlm.nih.gov/42862558/</w:t>
      </w:r>
    </w:p>
    <w:p>
      <w:pPr>
        <w:pStyle w:val="Heading2"/>
      </w:pPr>
      <w:r>
        <w:t>Familiäre Resilienz und Lebensqualität: was pflegende Angehörige von Brustkrebspatienten bewirken</w:t>
      </w:r>
    </w:p>
    <w:p>
      <w:r>
        <w:rPr>
          <w:i/>
          <w:color w:val="666666"/>
          <w:sz w:val="18"/>
        </w:rPr>
        <w:t>Erdem N et al.  ·  Support Care Cancer  ·  12.10.2026  ·  PMID 42862377</w:t>
      </w:r>
    </w:p>
    <w:p>
      <w:r>
        <w:t>Cross-sectional-Studie mit 208 Patientin-Angehörigen-Dyaden zur Beziehung zwischen Familienresilienz und Lebensqualität der Patientin.</w:t>
      </w:r>
    </w:p>
    <w:p>
      <w:r>
        <w:rPr>
          <w:b/>
        </w:rPr>
        <w:t xml:space="preserve">Ergebnis: </w:t>
      </w:r>
      <w:r>
        <w:t>Mittlere Familienresilienzwerte: 3,14 ± 0,32. Signifikante positive Korrelation zwischen Gesamtresilienz der Angehörigen und Umwelt-Lebensqualität der Patientin (r = 0,264; p &lt; 0,001), aber nicht mit anderen Lebensqualitäts-Domänen. Höhere Schulbildung der Angehörigen war mit besserer Familienzusammenhalt assoziiert (p &lt; 0,05).</w:t>
      </w:r>
    </w:p>
    <w:p>
      <w:r>
        <w:rPr>
          <w:b/>
          <w:sz w:val="19"/>
        </w:rPr>
        <w:t xml:space="preserve">Übertragbarkeit: </w:t>
      </w:r>
      <w:r>
        <w:rPr>
          <w:sz w:val="19"/>
        </w:rPr>
        <w:t>Türkei, ähnliche Familienstrukturen; Fokus auf Ressourcenmobilisierung als Pflegeziel relevant für Deutschland.</w:t>
      </w:r>
    </w:p>
    <w:p>
      <w:r>
        <w:rPr>
          <w:color w:val="5A7D3A"/>
          <w:sz w:val="18"/>
        </w:rPr>
        <w:t>https://pubmed.ncbi.nlm.nih.gov/42862377/</w:t>
      </w:r>
    </w:p>
    <w:p>
      <w:pPr>
        <w:pStyle w:val="Heading2"/>
      </w:pPr>
      <w:r>
        <w:t>Organisationale Unterstützung und berufliches Wohlbefinden: Netzwerkanalyse bei chinesischen Pflegekräften</w:t>
      </w:r>
    </w:p>
    <w:p>
      <w:r>
        <w:rPr>
          <w:i/>
          <w:color w:val="666666"/>
          <w:sz w:val="18"/>
        </w:rPr>
        <w:t>Zhang X et al.  ·  Int Nurs Rev  ·  Dez. 2026  ·  PMID 42861841</w:t>
      </w:r>
    </w:p>
    <w:p>
      <w:r>
        <w:t>Netzwerkanalyse bei 586 chinesischen Pflegekräften zur Beziehung zwischen wahrgenommener organisationaler Unterstützung, beruflichen Vorteilen und psychischem Wohlbefinden (Flourishing).</w:t>
      </w:r>
    </w:p>
    <w:p>
      <w:r>
        <w:rPr>
          <w:b/>
        </w:rPr>
        <w:t xml:space="preserve">Ergebnis: </w:t>
      </w:r>
      <w:r>
        <w:t>Netzwerkdichte: 0,562. Drei Knoten mit hoher Konnektivität: "Tägliche Aufgaben interessieren mich tiefgreifend", "Zufriedenheit mit Leben", "Gute Patientin-Pfleger-Beziehung". "Positive Karrierewahrnehmung" zeigte höchste Brückenstärke (bridge strength). Zentralknoten und Brückenknoten identifizieren modifizierbare Faktoren für zukünftige Interventionen.</w:t>
      </w:r>
    </w:p>
    <w:p>
      <w:r>
        <w:rPr>
          <w:b/>
          <w:sz w:val="19"/>
        </w:rPr>
        <w:t xml:space="preserve">Übertragbarkeit: </w:t>
      </w:r>
      <w:r>
        <w:rPr>
          <w:sz w:val="19"/>
        </w:rPr>
        <w:t>China; Struktur-Fund zu zentralen Hebeln für Wohlbefinden auf Systemebene übertragbar, nationale Umsetzung erforderlich.</w:t>
      </w:r>
    </w:p>
    <w:p>
      <w:r>
        <w:rPr>
          <w:color w:val="5A7D3A"/>
          <w:sz w:val="18"/>
        </w:rPr>
        <w:t>https://pubmed.ncbi.nlm.nih.gov/42861841/</w:t>
      </w:r>
    </w:p>
    <w:p>
      <w:pPr>
        <w:pStyle w:val="Heading2"/>
      </w:pPr>
      <w:r>
        <w:t>Gesundheitskompetenz in der Dialysepflege: was Patientenedukation für Lebensqualität bewirkt</w:t>
      </w:r>
    </w:p>
    <w:p>
      <w:r>
        <w:rPr>
          <w:i/>
          <w:color w:val="666666"/>
          <w:sz w:val="18"/>
        </w:rPr>
        <w:t>Mostoles RJ et al.  ·  J Nurs Manag  ·  2026  ·  PMID 42860772</w:t>
      </w:r>
    </w:p>
    <w:p>
      <w:r>
        <w:t>Cross-sectional-Korrelationsstudie mit 215 Dialysepatienten zur Assoziation von Gesundheitskompetenz, sozialer Unterstützung und Nieren-spezifischer Lebensqualität.</w:t>
      </w:r>
    </w:p>
    <w:p>
      <w:r>
        <w:rPr>
          <w:b/>
        </w:rPr>
        <w:t xml:space="preserve">Ergebnis: </w:t>
      </w:r>
      <w:r>
        <w:t>91,7 % der Patienten hatten begrenzte Gesundheitskompetenz. Gesundheitskompetenz war signifikanter Prädiktor der Lebensqualität (β = 0,19; p = 0,012), erklärte aber nur 6,8 % der Varianz. 81,9 % bevorzugten verbale gegenüber schriftlicher Vermittlung. Implikation: Universal-Precautions-Ansatz mit Plain Language, visuellen Materialien und Teach-Back-Methode als Standard notwendig.</w:t>
      </w:r>
    </w:p>
    <w:p>
      <w:r>
        <w:rPr>
          <w:b/>
          <w:sz w:val="19"/>
        </w:rPr>
        <w:t xml:space="preserve">Übertragbarkeit: </w:t>
      </w:r>
      <w:r>
        <w:rPr>
          <w:sz w:val="19"/>
        </w:rPr>
        <w:t>Saudi-Arabien; Setting und Familienstrukturen anders, aber Befund zur Effektivität strukturierter Patientenedukation auf Versorgungsqualität übertragbar.</w:t>
      </w:r>
    </w:p>
    <w:p>
      <w:r>
        <w:rPr>
          <w:color w:val="5A7D3A"/>
          <w:sz w:val="18"/>
        </w:rPr>
        <w:t>https://pubmed.ncbi.nlm.nih.gov/42860772/</w:t>
      </w:r>
    </w:p>
    <w:p>
      <w:pPr>
        <w:pStyle w:val="Heading2"/>
      </w:pPr>
      <w:r>
        <w:t>Psychologische Sicherheit und Anpassung: was Mentoring für ausländische Pflegekräfte bedeutet</w:t>
      </w:r>
    </w:p>
    <w:p>
      <w:r>
        <w:rPr>
          <w:i/>
          <w:color w:val="666666"/>
          <w:sz w:val="18"/>
        </w:rPr>
        <w:t>Almutairi AS et al.  ·  J Nurs Manag  ·  2026  ·  PMID 42860760</w:t>
      </w:r>
    </w:p>
    <w:p>
      <w:r>
        <w:t>Qualitative Interviewstudie mit 17 Pflegekräften aus Philippinen, Indien, Pakistan und Ägypten zu Faktoren der psychologischen Sicherheit und kulturellen Anpassung in saudi-arabischen Krankenhäusern.</w:t>
      </w:r>
    </w:p>
    <w:p>
      <w:r>
        <w:rPr>
          <w:b/>
        </w:rPr>
        <w:t xml:space="preserve">Ergebnis: </w:t>
      </w:r>
      <w:r>
        <w:t>8 von 17 Pflegekräften mit strukturiertem Mentoring beschrieben konsistentere Sicherheitserfahrungen als 9 ohne oder mit informeller Unterstützung. Strukturiertes Mentoring, hierarchische Zugänglichkeit und explizite kulturelle Kompetenzarbeit förderten psychologische Sicherheit. Drei Themenkomplexe: 1) Unsicherheit unterminierende Kontexte (starre Hierarchien, Zweifeln an Qualifikationen), 2) organisatorisch geförderte Sicherheit (formales Mentoring, kollegiale Unterstützung), 3) sicherheitsermöglichte Anpassung.</w:t>
      </w:r>
    </w:p>
    <w:p>
      <w:r>
        <w:rPr>
          <w:b/>
          <w:sz w:val="19"/>
        </w:rPr>
        <w:t xml:space="preserve">Übertragbarkeit: </w:t>
      </w:r>
      <w:r>
        <w:rPr>
          <w:sz w:val="19"/>
        </w:rPr>
        <w:t>Saudi-Arabien; für Deutschland relevant bei Integration von Fachkräften aus Nicht-EU-Ländern, transferierbare Handlungsprinzipien.</w:t>
      </w:r>
    </w:p>
    <w:p>
      <w:r>
        <w:rPr>
          <w:color w:val="5A7D3A"/>
          <w:sz w:val="18"/>
        </w:rPr>
        <w:t>https://pubmed.ncbi.nlm.nih.gov/42860760/</w:t>
      </w:r>
    </w:p>
    <w:p>
      <w:pPr>
        <w:pStyle w:val="Heading2"/>
      </w:pPr>
      <w:r>
        <w:t>Künstliche Intelligenz in der Pflege: Auswirkung auf unterlassene Pflegeleistungen</w:t>
      </w:r>
    </w:p>
    <w:p>
      <w:r>
        <w:rPr>
          <w:i/>
          <w:color w:val="666666"/>
          <w:sz w:val="18"/>
        </w:rPr>
        <w:t>Alanazi FK et al.  ·  J Nurs Manag  ·  2026  ·  PMID 42860727</w:t>
      </w:r>
    </w:p>
    <w:p>
      <w:r>
        <w:t>Konvergente Mixed-Methods-Studie mit 210 Intensivpflegekräften und 14 Interviews zur Assoziation zwischen KI-gestütztem Decision Support, klinischem Entscheidungsverhalten und unterlassener Pflege.</w:t>
      </w:r>
    </w:p>
    <w:p>
      <w:r>
        <w:rPr>
          <w:b/>
        </w:rPr>
        <w:t xml:space="preserve">Ergebnis: </w:t>
      </w:r>
      <w:r>
        <w:t>Bivariate Korrelation zwischen Entscheidungsorientierung und unterlassener Pflege: r = −0,178 (p &lt; 0,01), aber im adjustierten Modell nicht signifikant (β = −0,124; p = 0,063). Modell erklärte 16,9 % der Varianz. Signifikante Prädiktoren: Berufserfahrung (β = 0,198; p = 0,004) und Bachelor-Grad vs. technische Ausbildung (β = −0,255; p &lt; 0,001). Qualitativ: Pflegekräfte sahen Potenzial (Alerts, Information, Workflow), aber auch Bedenken (Vertrauen, Überabhängigkeit, Empathie).</w:t>
      </w:r>
    </w:p>
    <w:p>
      <w:r>
        <w:rPr>
          <w:b/>
          <w:sz w:val="19"/>
        </w:rPr>
        <w:t xml:space="preserve">Übertragbarkeit: </w:t>
      </w:r>
      <w:r>
        <w:rPr>
          <w:sz w:val="19"/>
        </w:rPr>
        <w:t>Ägypten; KI-Implementierungsprinzipien (Schulung, Nutzerbarkeitsmonitoring, Klinischer Urteilsschutz) sind systemübergreifend relevant.</w:t>
      </w:r>
    </w:p>
    <w:p>
      <w:r>
        <w:rPr>
          <w:color w:val="5A7D3A"/>
          <w:sz w:val="18"/>
        </w:rPr>
        <w:t>https://pubmed.ncbi.nlm.nih.gov/42860727/</w:t>
      </w:r>
    </w:p>
    <w:p>
      <w:pPr>
        <w:pStyle w:val="Heading1"/>
      </w:pPr>
      <w:r>
        <w:t>Aufgenommen am 12.10.2026</w:t>
      </w:r>
    </w:p>
    <w:p>
      <w:pPr>
        <w:pStyle w:val="Heading2"/>
      </w:pPr>
      <w:r>
        <w:t>Klinisches Entscheidungssystem in deutschen Pflegeheimen: 72% passende Interventionsempfehlungen</w:t>
      </w:r>
    </w:p>
    <w:p>
      <w:r>
        <w:rPr>
          <w:i/>
          <w:color w:val="666666"/>
          <w:sz w:val="18"/>
        </w:rPr>
        <w:t>Pilz M et al.  ·  Health Care Manag Sci  ·  10.10.2026  ·  PMID 42859266</w:t>
      </w:r>
    </w:p>
    <w:p>
      <w:r>
        <w:t>Studie evaluierte einen hybriden klinischen Entscheidungsunterstützungssystem (CDSS) in zwei deutschen Pflegeheimen zu Mobilität und Schmerzmanagement.</w:t>
      </w:r>
    </w:p>
    <w:p>
      <w:r>
        <w:rPr>
          <w:b/>
        </w:rPr>
        <w:t xml:space="preserve">Ergebnis: </w:t>
      </w:r>
      <w:r>
        <w:t>Von CDSS-Empfehlungen wurden 72% von Pflegefachpersonen als situationsgerecht bewertet; Large-Language-Modell erzielte 76% Übereinstimmung beim Extrahieren relevanter Informationen aus Freitexteinträgen. Das System könnte Pflegeplanung unterstützen.</w:t>
      </w:r>
    </w:p>
    <w:p>
      <w:r>
        <w:rPr>
          <w:b/>
          <w:sz w:val="19"/>
        </w:rPr>
        <w:t xml:space="preserve">Übertragbarkeit: </w:t>
      </w:r>
      <w:r>
        <w:rPr>
          <w:sz w:val="19"/>
        </w:rPr>
        <w:t>Deutsche Studie, deutsches Pflegeheim-Setting, vergleichbare Dokumentation</w:t>
      </w:r>
    </w:p>
    <w:p>
      <w:r>
        <w:rPr>
          <w:color w:val="5A7D3A"/>
          <w:sz w:val="18"/>
        </w:rPr>
        <w:t>https://pubmed.ncbi.nlm.nih.gov/42859266/</w:t>
      </w:r>
    </w:p>
    <w:p>
      <w:pPr>
        <w:pStyle w:val="Heading2"/>
      </w:pPr>
      <w:r>
        <w:t>Interprofessionelle Entlassungsvorbereitung reduziert Krankenhauswiederaufnahmen im Alter</w:t>
      </w:r>
    </w:p>
    <w:p>
      <w:r>
        <w:rPr>
          <w:i/>
          <w:color w:val="666666"/>
          <w:sz w:val="18"/>
        </w:rPr>
        <w:t>Westerling U et al.  ·  BMC Geriatr  ·  06.10.2026  ·  PMID 42859151</w:t>
      </w:r>
    </w:p>
    <w:p>
      <w:r>
        <w:t>Schwedische Kohortenstudie mit Propensity-Score-Matching zur Wirkung eines zeitlich begrenzten, interprofessionellen Entlassungsmanagements nach Krankenhausaufenthalt bei über 75-Jährigen.</w:t>
      </w:r>
    </w:p>
    <w:p>
      <w:r>
        <w:rPr>
          <w:b/>
        </w:rPr>
        <w:t xml:space="preserve">Ergebnis: </w:t>
      </w:r>
      <w:r>
        <w:t>Nach 90 Tagen: Wiederaufnahmerate 20,3% (Intervention) vs. 33,6% (Kontrolle); Hazard Ratio 0,57 (95% KI 0,37–0,86, p=0,008). Nach 365 Tagen keine signifikanten Unterschiede in Sterblichkeit oder Wiederaufnahmen.</w:t>
      </w:r>
    </w:p>
    <w:p>
      <w:r>
        <w:rPr>
          <w:b/>
          <w:sz w:val="19"/>
        </w:rPr>
        <w:t xml:space="preserve">Übertragbarkeit: </w:t>
      </w:r>
      <w:r>
        <w:rPr>
          <w:sz w:val="19"/>
        </w:rPr>
        <w:t>Schweden, vergleichbares Gesundheitssystem, sektorenübergreifendes Setting</w:t>
      </w:r>
    </w:p>
    <w:p>
      <w:r>
        <w:rPr>
          <w:color w:val="5A7D3A"/>
          <w:sz w:val="18"/>
        </w:rPr>
        <w:t>https://pubmed.ncbi.nlm.nih.gov/42859151/</w:t>
      </w:r>
    </w:p>
    <w:p>
      <w:pPr>
        <w:pStyle w:val="Heading2"/>
      </w:pPr>
      <w:r>
        <w:t>Multikomponenteninterventionen reduzieren Belastung pflegender Angehöriger von Demenzpatienten</w:t>
      </w:r>
    </w:p>
    <w:p>
      <w:r>
        <w:rPr>
          <w:i/>
          <w:color w:val="666666"/>
          <w:sz w:val="18"/>
        </w:rPr>
        <w:t>Ito Y et al.  ·  Int J Geriatr Psychiatry  ·  Okt. 2026  ·  PMID 42858451</w:t>
      </w:r>
    </w:p>
    <w:p>
      <w:r>
        <w:t>Netzwerk-Metaanalyse von 67 randomisierten kontrollierten Studien zu nicht-pharmakologischen Interventionen für Angehörige von Menschen mit Demenz hinsichtlich Belastung und positiver Aspekte der Pflege.</w:t>
      </w:r>
    </w:p>
    <w:p>
      <w:r>
        <w:rPr>
          <w:b/>
        </w:rPr>
        <w:t xml:space="preserve">Ergebnis: </w:t>
      </w:r>
      <w:r>
        <w:t>Multikomponenteninterventionen zeigten signifikante Reduktion der Pflegebelastung (SMD: −0,33; 95% KI −0,63 bis −0,04). Andere Interventionstypen zeigten keine statistisch signifikanten Effekte. Evidenz für positive Aspekte der Pflege war spärlich.</w:t>
      </w:r>
    </w:p>
    <w:p>
      <w:r>
        <w:rPr>
          <w:b/>
          <w:sz w:val="19"/>
        </w:rPr>
        <w:t xml:space="preserve">Übertragbarkeit: </w:t>
      </w:r>
      <w:r>
        <w:rPr>
          <w:sz w:val="19"/>
        </w:rPr>
        <w:t>Internationale Evidenz, Langzeitpflege-fokussiert, relevante Interventionstypen</w:t>
      </w:r>
    </w:p>
    <w:p>
      <w:r>
        <w:rPr>
          <w:color w:val="5A7D3A"/>
          <w:sz w:val="18"/>
        </w:rPr>
        <w:t>https://pubmed.ncbi.nlm.nih.gov/42858451/</w:t>
      </w:r>
    </w:p>
    <w:p>
      <w:pPr>
        <w:pStyle w:val="Heading2"/>
      </w:pPr>
      <w:r>
        <w:t>Risikostratifiziertes Pflegemanagement nach Koronarangiografie: weniger Blutungen, schneller mobil</w:t>
      </w:r>
    </w:p>
    <w:p>
      <w:r>
        <w:rPr>
          <w:i/>
          <w:color w:val="666666"/>
          <w:sz w:val="18"/>
        </w:rPr>
        <w:t>Guo X et al.  ·  Front Public Health  ·  25.09.2026  ·  PMID 42857093</w:t>
      </w:r>
    </w:p>
    <w:p>
      <w:r>
        <w:t>Prospektive randomisierte Studie (n=240) zu Failure-Mode-and-Effects-Analysis-gestütztem, risikostratifiziertem Pflegemanagement versus Standardpflege nach Koronarangiografie.</w:t>
      </w:r>
    </w:p>
    <w:p>
      <w:r>
        <w:rPr>
          <w:b/>
        </w:rPr>
        <w:t xml:space="preserve">Ergebnis: </w:t>
      </w:r>
      <w:r>
        <w:t>NRS-Schmerzwert nach 24h signifikant geringer; Opioid-Verbrauch um 23,4% reduziert; klinisch relevante Blutungen 8,3% vs. 17,5%; erste Mobilisierung um 8,2h früher; Krankenhausaufenthalt um 1,8 Tage verkürzt; Funktionale Unabhängigkeit bei Entlassung um 11,2% verbessert.</w:t>
      </w:r>
    </w:p>
    <w:p>
      <w:r>
        <w:rPr>
          <w:b/>
          <w:sz w:val="19"/>
        </w:rPr>
        <w:t xml:space="preserve">Übertragbarkeit: </w:t>
      </w:r>
      <w:r>
        <w:rPr>
          <w:sz w:val="19"/>
        </w:rPr>
        <w:t>China, aber Sicherheitsstrukturen und Pflege-Outcomes sind übertragbar</w:t>
      </w:r>
    </w:p>
    <w:p>
      <w:r>
        <w:rPr>
          <w:color w:val="5A7D3A"/>
          <w:sz w:val="18"/>
        </w:rPr>
        <w:t>https://pubmed.ncbi.nlm.nih.gov/42857093/</w:t>
      </w:r>
    </w:p>
    <w:p>
      <w:pPr>
        <w:pStyle w:val="Heading2"/>
      </w:pPr>
      <w:r>
        <w:t>Achtsamkeitsbezogene Selbstfürsorge senkt berufliche Trauer bei ICU-Pflegenden</w:t>
      </w:r>
    </w:p>
    <w:p>
      <w:r>
        <w:rPr>
          <w:i/>
          <w:color w:val="666666"/>
          <w:sz w:val="18"/>
        </w:rPr>
        <w:t>Chen X et al.  ·  Front Public Health  ·  25.09.2026  ·  PMID 42856972</w:t>
      </w:r>
    </w:p>
    <w:p>
      <w:r>
        <w:t>Querschnittstudie (n=355 ICU-Pflegende) mit Latent-Profile-Analyse zu Zusammenhang zwischen achtsamkeitsbezogener Selbstfürsorge und beruflicher Trauer.</w:t>
      </w:r>
    </w:p>
    <w:p>
      <w:r>
        <w:rPr>
          <w:b/>
        </w:rPr>
        <w:t xml:space="preserve">Ergebnis: </w:t>
      </w:r>
      <w:r>
        <w:t>Zwei Profile: ‚Selbstfürsorge-Defizit' (32,5%) und ‚hohe Achtsamkeitspflege' (67,5%); hohes Achtsamkeitsprofil assoziiert mit signifikant geringerer beruflicher Trauer (p&lt;0,001); Einflussfaktoren: Gesundheitszustand und Selbstmitgefühl (p&lt;0,05).</w:t>
      </w:r>
    </w:p>
    <w:p>
      <w:r>
        <w:rPr>
          <w:b/>
          <w:sz w:val="19"/>
        </w:rPr>
        <w:t xml:space="preserve">Übertragbarkeit: </w:t>
      </w:r>
      <w:r>
        <w:rPr>
          <w:sz w:val="19"/>
        </w:rPr>
        <w:t>China, aber Belastungsstrukturen und Selbstfürsorge-Interventionen sind versorgungsübergreifend relevant</w:t>
      </w:r>
    </w:p>
    <w:p>
      <w:r>
        <w:rPr>
          <w:color w:val="5A7D3A"/>
          <w:sz w:val="18"/>
        </w:rPr>
        <w:t>https://pubmed.ncbi.nlm.nih.gov/42856972/</w:t>
      </w:r>
    </w:p>
    <w:p>
      <w:pPr>
        <w:pStyle w:val="Heading2"/>
      </w:pPr>
      <w:r>
        <w:t>Faktoren für Haltung pflegender Angehöriger zur Verzichtsentscheidung bei Demenz</w:t>
      </w:r>
    </w:p>
    <w:p>
      <w:r>
        <w:rPr>
          <w:i/>
          <w:color w:val="666666"/>
          <w:sz w:val="18"/>
        </w:rPr>
        <w:t>Kim K et al.  ·  Nurs Open  ·  Okt. 2026  ·  PMID 42854103</w:t>
      </w:r>
    </w:p>
    <w:p>
      <w:r>
        <w:t>Querschnittstudie (n=113) südkoreanischer Angehöriger von Demenzpatienten zu Faktoren, die ihre Einstellung zum Verzicht auf lebenserhaltende Maßnahmen prägen.</w:t>
      </w:r>
    </w:p>
    <w:p>
      <w:r>
        <w:rPr>
          <w:b/>
        </w:rPr>
        <w:t xml:space="preserve">Ergebnis: </w:t>
      </w:r>
      <w:r>
        <w:t>Ehepartner und Kinder zeigten günstigere Haltungen als andere Angehörige; Assoziationen mit Vorausplanungswissen, Religiosität und vorherigen Familiendiskussionen waren in Robustheitsanalysen nicht konsistent gestützt. Befunde sind explorativ und bedürfen weiterer Bestätigung.</w:t>
      </w:r>
    </w:p>
    <w:p>
      <w:r>
        <w:rPr>
          <w:b/>
          <w:sz w:val="19"/>
        </w:rPr>
        <w:t xml:space="preserve">Übertragbarkeit: </w:t>
      </w:r>
      <w:r>
        <w:rPr>
          <w:sz w:val="19"/>
        </w:rPr>
        <w:t>Südkorea, Aspekte zu Autonomie und Vorausplanung relevant für deutsches Setting</w:t>
      </w:r>
    </w:p>
    <w:p>
      <w:r>
        <w:rPr>
          <w:color w:val="5A7D3A"/>
          <w:sz w:val="18"/>
        </w:rPr>
        <w:t>https://pubmed.ncbi.nlm.nih.gov/42854103/</w:t>
      </w:r>
    </w:p>
    <w:p>
      <w:pPr>
        <w:pStyle w:val="Heading1"/>
      </w:pPr>
      <w:r>
        <w:t>Aufgenommen am 11.10.2026</w:t>
      </w:r>
    </w:p>
    <w:p>
      <w:pPr>
        <w:pStyle w:val="Heading2"/>
      </w:pPr>
      <w:r>
        <w:t>Emotionale Belastung von Hebammen und Pflegefachpersonen nach Totgeburten: Strategien der Trauerbewältigung</w:t>
      </w:r>
    </w:p>
    <w:p>
      <w:r>
        <w:rPr>
          <w:i/>
          <w:color w:val="666666"/>
          <w:sz w:val="18"/>
        </w:rPr>
        <w:t>Liao Y et al.  ·  Nurs Open  ·  Okt. 2026  ·  PMID 42854101</w:t>
      </w:r>
    </w:p>
    <w:p>
      <w:r>
        <w:t>Qualitative Phänomenologische Studie mit 10 Hebammen und Geburtspflegefachpersonen über ihre Erfahrungen in der Betreuung von Familien nach Totgeburt und ihre Bewältigungsstrategien.</w:t>
      </w:r>
    </w:p>
    <w:p>
      <w:r>
        <w:rPr>
          <w:b/>
        </w:rPr>
        <w:t xml:space="preserve">Ergebnis: </w:t>
      </w:r>
      <w:r>
        <w:t>Drei Themen: Fachpersonen waren emotional stark belastet durch kulturelle Tabus um Tod; erfahrene Fachkräfte praktizierten ‚stille Begleitung', weniger erfahrene mieden direkte Kommunikation; durch Reflexion lernten sie, emotionale Unterstützung zu geben und eigenes Wohlbefinden zu bewahren. Jüngere Fachkräfte benötigen Unterstützung.</w:t>
      </w:r>
    </w:p>
    <w:p>
      <w:r>
        <w:rPr>
          <w:b/>
          <w:sz w:val="19"/>
        </w:rPr>
        <w:t xml:space="preserve">Übertragbarkeit: </w:t>
      </w:r>
      <w:r>
        <w:rPr>
          <w:sz w:val="19"/>
        </w:rPr>
        <w:t>Chinesisches Setting, Befunde zu Trauerkompetenz und beruflicher Resilience übertragbar</w:t>
      </w:r>
    </w:p>
    <w:p>
      <w:r>
        <w:rPr>
          <w:color w:val="5A7D3A"/>
          <w:sz w:val="18"/>
        </w:rPr>
        <w:t>https://pubmed.ncbi.nlm.nih.gov/42854101/</w:t>
      </w:r>
    </w:p>
    <w:p>
      <w:pPr>
        <w:pStyle w:val="Heading2"/>
      </w:pPr>
      <w:r>
        <w:t>Mitgefühlsmüdigkeit und Lebensqualität von Pflegefachpersonen in der Langzeitversorgung Ghana</w:t>
      </w:r>
    </w:p>
    <w:p>
      <w:r>
        <w:rPr>
          <w:i/>
          <w:color w:val="666666"/>
          <w:sz w:val="18"/>
        </w:rPr>
        <w:t>Poku CA et al.  ·  Nurs Open  ·  Okt. 2026  ·  PMID 42854082</w:t>
      </w:r>
    </w:p>
    <w:p>
      <w:r>
        <w:t>Querschnittsstudie mit 269 Pflegefachpersonen in chronischen Pflegeeinheiten zu Zusammenhang zwischen Compassion Satisfaction, Burnout und Lebensqualität.</w:t>
      </w:r>
    </w:p>
    <w:p>
      <w:r>
        <w:rPr>
          <w:b/>
        </w:rPr>
        <w:t xml:space="preserve">Ergebnis: </w:t>
      </w:r>
      <w:r>
        <w:t>Hohe Compassion Satisfaction (42,43), moderater Burnout, moderate Lebensqualität (2,73). Compassion Satisfaction beeinflusste Lebensqualität positiv (β = 0,140, p &lt; 0,001), emotionale Erschöpfung negativ (β = -0,045, p &lt; 0,0001). Burnout mediierte partiell (F = 20,01, p &lt; 0,001); Alter moderierte den Effekt.</w:t>
      </w:r>
    </w:p>
    <w:p>
      <w:r>
        <w:rPr>
          <w:b/>
          <w:sz w:val="19"/>
        </w:rPr>
        <w:t xml:space="preserve">Übertragbarkeit: </w:t>
      </w:r>
      <w:r>
        <w:rPr>
          <w:sz w:val="19"/>
        </w:rPr>
        <w:t>Subsahara-Afrika, Befunde zu Well-being-Interventionen und Burnout-Mediation übertragbar</w:t>
      </w:r>
    </w:p>
    <w:p>
      <w:r>
        <w:rPr>
          <w:color w:val="5A7D3A"/>
          <w:sz w:val="18"/>
        </w:rPr>
        <w:t>https://pubmed.ncbi.nlm.nih.gov/42854082/</w:t>
      </w:r>
    </w:p>
    <w:p>
      <w:pPr>
        <w:pStyle w:val="Heading2"/>
      </w:pPr>
      <w:r>
        <w:t>Einhaltung von Schutzmaßnahmen auf Intensivstationen: Organisationale Unterstützung und Schulung</w:t>
      </w:r>
    </w:p>
    <w:p>
      <w:r>
        <w:rPr>
          <w:i/>
          <w:color w:val="666666"/>
          <w:sz w:val="18"/>
        </w:rPr>
        <w:t>Liu T et al.  ·  Nurs Open  ·  Okt. 2026  ·  PMID 42853967</w:t>
      </w:r>
    </w:p>
    <w:p>
      <w:r>
        <w:t>Querschnittstudie mit 378 Pflegefachpersonen aus fünf chinesischen Universitätskrankenhäusern zur Compliance mit Standard-Precautions und ihre Determinanten.</w:t>
      </w:r>
    </w:p>
    <w:p>
      <w:r>
        <w:rPr>
          <w:b/>
        </w:rPr>
        <w:t xml:space="preserve">Ergebnis: </w:t>
      </w:r>
      <w:r>
        <w:t>Gesamtcompliance 73,4 %. Compliance korrelierte positiv mit wahrgenommener organisationaler Unterstützung (r = 0,328, p &lt; 0,01). Geschlecht, Expositionsunfälle in den letzten 6 Monaten und organisationale Unterstützung waren unabhängig assoziiert. Strukturiertes Care-Bundle mit Training und psychologischer Unterstützung empfohlen.</w:t>
      </w:r>
    </w:p>
    <w:p>
      <w:r>
        <w:rPr>
          <w:b/>
          <w:sz w:val="19"/>
        </w:rPr>
        <w:t xml:space="preserve">Übertragbarkeit: </w:t>
      </w:r>
      <w:r>
        <w:rPr>
          <w:sz w:val="19"/>
        </w:rPr>
        <w:t>Tertiärkliniken China, Befunde zur organisationalen Einflussfaktoren auf Infektionsprävention universal</w:t>
      </w:r>
    </w:p>
    <w:p>
      <w:r>
        <w:rPr>
          <w:color w:val="5A7D3A"/>
          <w:sz w:val="18"/>
        </w:rPr>
        <w:t>https://pubmed.ncbi.nlm.nih.gov/42853967/</w:t>
      </w:r>
    </w:p>
    <w:p>
      <w:pPr>
        <w:pStyle w:val="Heading2"/>
      </w:pPr>
      <w:r>
        <w:t>Prognose-gesteuerte Symptomkontrolle in der Palliativversorgung: Biomarker und Pflegekompetenz</w:t>
      </w:r>
    </w:p>
    <w:p>
      <w:r>
        <w:rPr>
          <w:i/>
          <w:color w:val="666666"/>
          <w:sz w:val="18"/>
        </w:rPr>
        <w:t>Ibrahim AM et al.  ·  Palliat Support Care  ·  09.10.2026  ·  PMID 42850936</w:t>
      </w:r>
    </w:p>
    <w:p>
      <w:r>
        <w:t>Systematische Übersicht zur Rolle von Pflegefachpersonen bei der Früherkennung klinischen Niedergangs durch Laborwerte und klinische Beurteilung in der Krebspalliativversorgung.</w:t>
      </w:r>
    </w:p>
    <w:p>
      <w:r>
        <w:rPr>
          <w:b/>
        </w:rPr>
        <w:t xml:space="preserve">Ergebnis: </w:t>
      </w:r>
      <w:r>
        <w:t>14 Studien belegen: Biomarker (CRP, Albumin, Elektrolyte) vorhersagen Symptomverschlechterung; pflegegeleitet integrierte Ansätze reduzierten Notfallbesuche und verbesserten Versorgungskontinuität. Prognose-orientierte Modelle sind vielversprechend, aber klinische Integration noch begrenzt.</w:t>
      </w:r>
    </w:p>
    <w:p>
      <w:r>
        <w:rPr>
          <w:b/>
          <w:sz w:val="19"/>
        </w:rPr>
        <w:t xml:space="preserve">Übertragbarkeit: </w:t>
      </w:r>
      <w:r>
        <w:rPr>
          <w:sz w:val="19"/>
        </w:rPr>
        <w:t>Europäische und englischsprachige Krebszentren, Übertragbarkeit auf multidisziplinäre Teams</w:t>
      </w:r>
    </w:p>
    <w:p>
      <w:r>
        <w:rPr>
          <w:color w:val="5A7D3A"/>
          <w:sz w:val="18"/>
        </w:rPr>
        <w:t>https://pubmed.ncbi.nlm.nih.gov/42850936/</w:t>
      </w:r>
    </w:p>
    <w:p>
      <w:pPr>
        <w:pStyle w:val="Heading2"/>
      </w:pPr>
      <w:r>
        <w:t>Patientenzufriedenheit mit Pflegeleistung im Krankenhaus: Validierung eines Messinstruments in Italien</w:t>
      </w:r>
    </w:p>
    <w:p>
      <w:r>
        <w:rPr>
          <w:i/>
          <w:color w:val="666666"/>
          <w:sz w:val="18"/>
        </w:rPr>
        <w:t>D'Accolti D et al.  ·  J Nurs Manag  ·  2026  ·  PMID 42850820</w:t>
      </w:r>
    </w:p>
    <w:p>
      <w:r>
        <w:t>Italienische Validierung des Patient Satisfaction with Nursing Care Quality Questionnaire in fünf Krankenhäusern an 698 Patienten zur Bewertung pflegerelevanter Versorgungsqualität.</w:t>
      </w:r>
    </w:p>
    <w:p>
      <w:r>
        <w:rPr>
          <w:b/>
        </w:rPr>
        <w:t xml:space="preserve">Ergebnis: </w:t>
      </w:r>
      <w:r>
        <w:t>Ein zwei-Faktor-Modell zeigte ausgezeichnete interne Konsistenz (ω = 0,95), mit positiven Korrelationen zu globalen Zufriedenheitsindikatoren (r = 0,45–0,88). Pflegeleistung wird in den Dimensionen Kernpflege und Entlassmanagement abgebildet; das Instrument unterstützt Qualitätsmessung in Krankenhäusern.</w:t>
      </w:r>
    </w:p>
    <w:p>
      <w:r>
        <w:rPr>
          <w:b/>
          <w:sz w:val="19"/>
        </w:rPr>
        <w:t xml:space="preserve">Übertragbarkeit: </w:t>
      </w:r>
      <w:r>
        <w:rPr>
          <w:sz w:val="19"/>
        </w:rPr>
        <w:t>Südeuropäische Validierung in Universitas-Krankenhaus, vergleichbare Versorgungsstrukturen</w:t>
      </w:r>
    </w:p>
    <w:p>
      <w:r>
        <w:rPr>
          <w:color w:val="5A7D3A"/>
          <w:sz w:val="18"/>
        </w:rPr>
        <w:t>https://pubmed.ncbi.nlm.nih.gov/42850820/</w:t>
      </w:r>
    </w:p>
    <w:p>
      <w:pPr>
        <w:pStyle w:val="Heading2"/>
      </w:pPr>
      <w:r>
        <w:t>Haltungen von pflegenden Angehörigen zum Verzicht auf Arzneimittel im Pflegeheim: Südkorea</w:t>
      </w:r>
    </w:p>
    <w:p>
      <w:r>
        <w:rPr>
          <w:i/>
          <w:color w:val="666666"/>
          <w:sz w:val="18"/>
        </w:rPr>
        <w:t>Jung JH et al.  ·  BMC Geriatr  ·  01.10.2026  ·  PMID 42850595</w:t>
      </w:r>
    </w:p>
    <w:p>
      <w:r>
        <w:t>Querschnittsstudie mit 973 Familienangehörigen von Pflegeheimbewohnern zu ihren Einstellungen zum Deprescribing bei Polypharmazie.</w:t>
      </w:r>
    </w:p>
    <w:p>
      <w:r>
        <w:rPr>
          <w:b/>
        </w:rPr>
        <w:t xml:space="preserve">Ergebnis: </w:t>
      </w:r>
      <w:r>
        <w:t>Bewohner nahmen durchschnittlich 5,6 ± 3,5 Arzneimittel; 16,3 % erlebten unerwünschte Ereignisse. Nach Korrektur für mehrfaches Testen: Unerwünschte Ereignisse, Medikamentenkosten, Medikamentenzahl und Chronische-Erkrankungen-Zahl waren mit Sorgen um Deprescribing assoziiert; Angehörige-Soziodemografie spielte keine Rolle.</w:t>
      </w:r>
    </w:p>
    <w:p>
      <w:r>
        <w:rPr>
          <w:b/>
          <w:sz w:val="19"/>
        </w:rPr>
        <w:t xml:space="preserve">Übertragbarkeit: </w:t>
      </w:r>
      <w:r>
        <w:rPr>
          <w:sz w:val="19"/>
        </w:rPr>
        <w:t>Ostasiatisches Versicherungssystem, Befunde zu Medikamentensicherheit im Heim international relevant</w:t>
      </w:r>
    </w:p>
    <w:p>
      <w:r>
        <w:rPr>
          <w:color w:val="5A7D3A"/>
          <w:sz w:val="18"/>
        </w:rPr>
        <w:t>https://pubmed.ncbi.nlm.nih.gov/42850595/</w:t>
      </w:r>
    </w:p>
    <w:p>
      <w:pPr>
        <w:pStyle w:val="Heading1"/>
      </w:pPr>
      <w:r>
        <w:t>Aufgenommen am 10.10.2026</w:t>
      </w:r>
    </w:p>
    <w:p>
      <w:pPr>
        <w:pStyle w:val="Heading2"/>
      </w:pPr>
      <w:r>
        <w:t>Selbstbestimmung und Hilfsuche in häuslicher Palliativpflege: Alltag alleinlebender Patienten mit unheilbarer Erkrankung</w:t>
      </w:r>
    </w:p>
    <w:p>
      <w:r>
        <w:rPr>
          <w:i/>
          <w:color w:val="666666"/>
          <w:sz w:val="18"/>
        </w:rPr>
        <w:t>Bashyam P et al.  ·  Ann Palliat Med  ·  Sept. 2026  ·  PMID 42854750</w:t>
      </w:r>
    </w:p>
    <w:p>
      <w:r>
        <w:t>Singapurer Phänomenologische Studie mit 12 Patienten in Heim-Hospizbetreuung, die allein ohne Betreuungsperson lebten, zu Alltag, Unabhängigkeit und Bedingungen für Hilfsuche.</w:t>
      </w:r>
    </w:p>
    <w:p>
      <w:r>
        <w:rPr>
          <w:b/>
        </w:rPr>
        <w:t xml:space="preserve">Ergebnis: </w:t>
      </w:r>
      <w:r>
        <w:t>Vier Themen: Unabhängigkeit als kognitives Selbstschutzkonzept gegen Abhängigkeit; Alltags-Routine als Schutzfilter für Interventionen; Vermeidung von Obligationen durch Vorzug bezahlter vs. sozialer Hilfe; bedingte Hilfsuche, aktiviert erst wenn physische Funktionsfähigkeit des Alltags zusammenbricht (nicht nach medizinischer Prognose).</w:t>
      </w:r>
    </w:p>
    <w:p>
      <w:r>
        <w:rPr>
          <w:b/>
          <w:sz w:val="19"/>
        </w:rPr>
        <w:t xml:space="preserve">Übertragbarkeit: </w:t>
      </w:r>
      <w:r>
        <w:rPr>
          <w:sz w:val="19"/>
        </w:rPr>
        <w:t>Singapur – Pflege-Erkenntnisse zur Selbstbestimmungsachtung am Lebensende gelten kulturübergreifend</w:t>
      </w:r>
    </w:p>
    <w:p>
      <w:r>
        <w:rPr>
          <w:color w:val="5A7D3A"/>
          <w:sz w:val="18"/>
        </w:rPr>
        <w:t>https://pubmed.ncbi.nlm.nih.gov/42854750/</w:t>
      </w:r>
    </w:p>
    <w:p>
      <w:pPr>
        <w:pStyle w:val="Heading2"/>
      </w:pPr>
      <w:r>
        <w:t>Pflegefachkräfte in Familienkonferenzen der Intensivstation: Strukturbarrieren und Partizipationspotential</w:t>
      </w:r>
    </w:p>
    <w:p>
      <w:r>
        <w:rPr>
          <w:i/>
          <w:color w:val="666666"/>
          <w:sz w:val="18"/>
        </w:rPr>
        <w:t>Caillet A et al.  ·  Nurs Crit Care  ·  Nov. 2026  ·  PMID 42851029</w:t>
      </w:r>
    </w:p>
    <w:p>
      <w:r>
        <w:t>Französische Qualitätsstudie mit 14 Pflegefachkräften und 5 Ärzten zu Faktoren, die Beteiligung von Pflegefachkräften in Intensivstations-Familienkonferenzen prägen.</w:t>
      </w:r>
    </w:p>
    <w:p>
      <w:r>
        <w:rPr>
          <w:b/>
        </w:rPr>
        <w:t xml:space="preserve">Ergebnis: </w:t>
      </w:r>
      <w:r>
        <w:t>Organisatorische und interprofessionelle Bedingungen, nicht Kompetenz oder Motivation, limitieren aktive Partizipation: mangelnde Redezeit, Ausschluss aus ethischen Beratungen, Angst vor Widerspruch zu Ärzten. Bei aktiver Beteiligung: bessere Teamkohärenz, reichere Kommunikation, gestärktes Vertrauen der Familien.</w:t>
      </w:r>
    </w:p>
    <w:p>
      <w:r>
        <w:rPr>
          <w:b/>
          <w:sz w:val="19"/>
        </w:rPr>
        <w:t xml:space="preserve">Übertragbarkeit: </w:t>
      </w:r>
      <w:r>
        <w:rPr>
          <w:sz w:val="19"/>
        </w:rPr>
        <w:t>Frankreich – interprofessionelle Modelle und Strukturbarrieren haben Universalwert für deutschsprachige Intensivstationen</w:t>
      </w:r>
    </w:p>
    <w:p>
      <w:r>
        <w:rPr>
          <w:color w:val="5A7D3A"/>
          <w:sz w:val="18"/>
        </w:rPr>
        <w:t>https://pubmed.ncbi.nlm.nih.gov/42851029/</w:t>
      </w:r>
    </w:p>
    <w:p>
      <w:pPr>
        <w:pStyle w:val="Heading2"/>
      </w:pPr>
      <w:r>
        <w:t>Ernährungsscreening und Energieversorgung bei klinischer Dietitiker-Federführung statt Pflegefachkraft-Führung</w:t>
      </w:r>
    </w:p>
    <w:p>
      <w:r>
        <w:rPr>
          <w:i/>
          <w:color w:val="666666"/>
          <w:sz w:val="18"/>
        </w:rPr>
        <w:t>Kristensen MB et al.  ·  J Hum Nutr Diet  ·  Okt. 2026  ·  PMID 42850792</w:t>
      </w:r>
    </w:p>
    <w:p>
      <w:r>
        <w:t>Dänische Multimethod-Studie zu Effekten einer Umverteilung von Ernährungsaufgaben von Pflegefachkräften auf klinische Diätologen in einer pulmonalen Station.</w:t>
      </w:r>
    </w:p>
    <w:p>
      <w:r>
        <w:rPr>
          <w:b/>
        </w:rPr>
        <w:t xml:space="preserve">Ergebnis: </w:t>
      </w:r>
      <w:r>
        <w:t>Bei Dietitiker-geführter Versorgung: 55% der Patienten innerhalb 24h gescreent (vs. 29% bei Pflegefachkraft-Führung), 76% insgesamt (vs. 43%); 79% der Interventionsgruppe erreichten ≥75% des Energiebedarfs gegenüber 57% der Kontrolle (p=0,023). Beide Berufsgruppen berichten verbesserte Zusammenarbeit, Pflegefachkräfte jedoch reduzierte Ernährungsaufmerksamkeit.</w:t>
      </w:r>
    </w:p>
    <w:p>
      <w:r>
        <w:rPr>
          <w:b/>
          <w:sz w:val="19"/>
        </w:rPr>
        <w:t xml:space="preserve">Übertragbarkeit: </w:t>
      </w:r>
      <w:r>
        <w:rPr>
          <w:sz w:val="19"/>
        </w:rPr>
        <w:t>Dänemark – strukturelle Aufgabenteilung zwischen Pflege und Diätetik mit Versorgungsmesswerten auf deutsches Setting übertragbar</w:t>
      </w:r>
    </w:p>
    <w:p>
      <w:r>
        <w:rPr>
          <w:color w:val="5A7D3A"/>
          <w:sz w:val="18"/>
        </w:rPr>
        <w:t>https://pubmed.ncbi.nlm.nih.gov/42850792/</w:t>
      </w:r>
    </w:p>
    <w:p>
      <w:pPr>
        <w:pStyle w:val="Heading2"/>
      </w:pPr>
      <w:r>
        <w:t>Spezialisierte Pflegefachkräfte in der Krebsdiagnostik: Versorgungsqualität, Patientenzufriedenheit und Kosteneffizienz</w:t>
      </w:r>
    </w:p>
    <w:p>
      <w:r>
        <w:rPr>
          <w:i/>
          <w:color w:val="666666"/>
          <w:sz w:val="18"/>
        </w:rPr>
        <w:t>Teodorowski P et al.  ·  Br J Nurs  ·  08.10.2026  ·  PMID 42848699</w:t>
      </w:r>
    </w:p>
    <w:p>
      <w:r>
        <w:t>Evaluation einer von Pflegefachkräften geleiteten Sprechstunde für Männer mit Verdacht auf Prostatakrebs in Großbritannien hinsichtlich Zufriedenheit, Behandlungsdauer und Kosten.</w:t>
      </w:r>
    </w:p>
    <w:p>
      <w:r>
        <w:rPr>
          <w:b/>
        </w:rPr>
        <w:t xml:space="preserve">Ergebnis: </w:t>
      </w:r>
      <w:r>
        <w:t>Die spezialisierte Pflegeklinik erzielte hohe Patientenzufriedenheit, kontinuierliche Versorgung und niedrigere Kosten pro Patient (£1049 vs. £1417) im Vergleich zur ärztlich geleiteten Klinik. Bessere Zusammenarbeit zwischen Pflegefachkraft und Arzt verbesserte die Versorgungsintegration.</w:t>
      </w:r>
    </w:p>
    <w:p>
      <w:r>
        <w:rPr>
          <w:b/>
          <w:sz w:val="19"/>
        </w:rPr>
        <w:t xml:space="preserve">Übertragbarkeit: </w:t>
      </w:r>
      <w:r>
        <w:rPr>
          <w:sz w:val="19"/>
        </w:rPr>
        <w:t>UK – vergleichbar mit deutschen ambulanten Spezialangeboten in der Onkologie</w:t>
      </w:r>
    </w:p>
    <w:p>
      <w:r>
        <w:rPr>
          <w:color w:val="5A7D3A"/>
          <w:sz w:val="18"/>
        </w:rPr>
        <w:t>https://pubmed.ncbi.nlm.nih.gov/42848699/</w:t>
      </w:r>
    </w:p>
    <w:p>
      <w:pPr>
        <w:pStyle w:val="Heading2"/>
      </w:pPr>
      <w:r>
        <w:t>Ernährung in britischen Pflegeheimen: Mangel an pflanzlichen und proteinhaltigen Alternativen</w:t>
      </w:r>
    </w:p>
    <w:p>
      <w:r>
        <w:rPr>
          <w:i/>
          <w:color w:val="666666"/>
          <w:sz w:val="18"/>
        </w:rPr>
        <w:t>Whyton S et al.  ·  J Hum Nutr Diet  ·  Okt. 2026  ·  PMID 42847812</w:t>
      </w:r>
    </w:p>
    <w:p>
      <w:r>
        <w:t>Analyse von Wochenmenüs aus 136 britischen Pflegeheimen für ältere Menschen nach Angebot an pflanzlichen, vegetarischen und fleischlosen Mahlzeiten.</w:t>
      </w:r>
    </w:p>
    <w:p>
      <w:r>
        <w:rPr>
          <w:b/>
        </w:rPr>
        <w:t xml:space="preserve">Ergebnis: </w:t>
      </w:r>
      <w:r>
        <w:t>Durchschnittlicher Score 28 von 80 Punkten; alle Menüs mit Rot- und Verarbeitungsfleisch mindestens wöchentlich, nur 2 Menüs ohne verarbeitetes Fleisch. Pflanzliche Proteine wie Linsen und Bohnen unterrepräsentiert trotz Gesundheitsempfehlungen.</w:t>
      </w:r>
    </w:p>
    <w:p>
      <w:r>
        <w:rPr>
          <w:b/>
          <w:sz w:val="19"/>
        </w:rPr>
        <w:t xml:space="preserve">Übertragbarkeit: </w:t>
      </w:r>
      <w:r>
        <w:rPr>
          <w:sz w:val="19"/>
        </w:rPr>
        <w:t>UK – aber prinzipielle Bedeutung für Speiseplangestaltung auch in deutschen Heimen</w:t>
      </w:r>
    </w:p>
    <w:p>
      <w:r>
        <w:rPr>
          <w:color w:val="5A7D3A"/>
          <w:sz w:val="18"/>
        </w:rPr>
        <w:t>https://pubmed.ncbi.nlm.nih.gov/42847812/</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Wang Y et al.  ·  J Vis Exp  ·  08.09.2026  ·  PMID 42714036</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https://pubmed.ncbi.nlm.nih.gov/42714036/</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2026-10-20T06:00:00Z</dcterms:created>
  <dcterms:modified xsi:type="dcterms:W3CDTF">2026-10-20T06:00:00Z</dcterms:modified>
  <cp:category/>
</cp:coreProperties>
</file>