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Neueste Studien - Pflege und Langzeitversorgung</w:t>
      </w:r>
    </w:p>
    <w:p>
      <w:r>
        <w:rPr>
          <w:i/>
          <w:color w:val="666666"/>
          <w:sz w:val="18"/>
        </w:rPr>
        <w:t>Stand: 26.10.2026  |  5 Studien  |  pflege.m-vf.de</w:t>
      </w:r>
    </w:p>
    <w:p>
      <w:pPr>
        <w:pStyle w:val="Heading1"/>
      </w:pPr>
      <w:r>
        <w:t>Aufgenommen am 26.10.2026</w:t>
      </w:r>
    </w:p>
    <w:p>
      <w:pPr>
        <w:pStyle w:val="Heading2"/>
      </w:pPr>
      <w:r>
        <w:t>Pflegeleistung im Krankenhaus: Dimensionen und Wirkungen von Pflegekompetenz</w:t>
      </w:r>
    </w:p>
    <w:p>
      <w:r>
        <w:rPr>
          <w:i/>
          <w:color w:val="666666"/>
          <w:sz w:val="18"/>
        </w:rPr>
        <w:t>Chen P et al.  ·  J Nurs Manag  ·  2026  ·  PMID 42922197</w:t>
      </w:r>
    </w:p>
    <w:p>
      <w:r>
        <w:t>Hybride Konzeptanalyse mit systematischer Literaturrecherche (43 Studien) und qualitativen Interviews (27 Patienten, 10 Pflegekräfte, 3 Manager) zur Definition und Messung von klinischem Pflegeleistungswert.</w:t>
      </w:r>
    </w:p>
    <w:p>
      <w:r>
        <w:rPr>
          <w:b/>
        </w:rPr>
        <w:t xml:space="preserve">Ergebnis: </w:t>
      </w:r>
      <w:r>
        <w:t>Pflegeleistung wird als Komposit aus fünf Dimensionen definiert: technisch, ökonomisch, humanistisch, informativ und sozial. Antezedenzien liegen in System/Organisation, Pflegeteam, Patienten/Familien und Technologie. Konsequenzen beeinflussen Patienten, Pflegeteam, Pflegeprofession, Klinik und Gesundheitssystem. Das Modell bildet Grundlage für Leistungsbewertung und Ressourcenallokation.</w:t>
      </w:r>
    </w:p>
    <w:p>
      <w:r>
        <w:rPr>
          <w:b/>
          <w:sz w:val="19"/>
        </w:rPr>
        <w:t xml:space="preserve">Übertragbarkeit: </w:t>
      </w:r>
      <w:r>
        <w:rPr>
          <w:sz w:val="19"/>
        </w:rPr>
        <w:t>China, konzeptionelle Rahmenarbeit; Dimensionen von Pflegeleistung international anwendbar</w:t>
      </w:r>
    </w:p>
    <w:p>
      <w:r>
        <w:rPr>
          <w:color w:val="5A7D3A"/>
          <w:sz w:val="18"/>
        </w:rPr>
        <w:t>https://pubmed.ncbi.nlm.nih.gov/42922197/</w:t>
      </w:r>
    </w:p>
    <w:p>
      <w:pPr>
        <w:pStyle w:val="Heading2"/>
      </w:pPr>
      <w:r>
        <w:t>Telemedizinische Pflegefachkraft-Betreuung bei Herzinsuffizienz: Selbstpflege und Wiederaufnahmen</w:t>
      </w:r>
    </w:p>
    <w:p>
      <w:r>
        <w:rPr>
          <w:i/>
          <w:color w:val="666666"/>
          <w:sz w:val="18"/>
        </w:rPr>
        <w:t>Zhu P et al.  ·  Nurs Health Sci  ·  Dez. 2026  ·  PMID 42922152</w:t>
      </w:r>
    </w:p>
    <w:p>
      <w:r>
        <w:t>Retrospektive Kohortenstudie (58 Telemedizin vs. 54 Routine-Nachsorge) zu risikostratifizierter WeChat-basierter Telemedizin bei 112 Patienten mit chronischer Herzinsuffizienz 2023–2024.</w:t>
      </w:r>
    </w:p>
    <w:p>
      <w:r>
        <w:rPr>
          <w:b/>
        </w:rPr>
        <w:t xml:space="preserve">Ergebnis: </w:t>
      </w:r>
      <w:r>
        <w:t>6-Monats-Wiederaufnahmequote ungematchter Kohorte: 13,8 % (Telemedizin) vs. 31,5 % (Routine, p = 0,02); nach 1:1 Propensity-Score-Matching (46 Paare): 15,2 % vs. 32,6 % (p = 0,04). Unadjustiertes Hazard Ratio 0,43 (95%-KI 0,18–0,99). Alle drei SCHFI-v7.2-C-Subskalen verbesserten sich mit Telemedizin (p &lt; 0,001). Effekt auf Wiederaufnahmen statistisch grenzwertig, aber Selbstpflege-Verbesserungen konsistent.</w:t>
      </w:r>
    </w:p>
    <w:p>
      <w:r>
        <w:rPr>
          <w:b/>
          <w:sz w:val="19"/>
        </w:rPr>
        <w:t xml:space="preserve">Übertragbarkeit: </w:t>
      </w:r>
      <w:r>
        <w:rPr>
          <w:sz w:val="19"/>
        </w:rPr>
        <w:t>China, aber Telemedizin-Konzept und Selbstpflege-Messung international übertragbar; Prospektive Bestätigung erforderlich</w:t>
      </w:r>
    </w:p>
    <w:p>
      <w:r>
        <w:rPr>
          <w:color w:val="5A7D3A"/>
          <w:sz w:val="18"/>
        </w:rPr>
        <w:t>https://pubmed.ncbi.nlm.nih.gov/42922152/</w:t>
      </w:r>
    </w:p>
    <w:p>
      <w:pPr>
        <w:pStyle w:val="Heading2"/>
      </w:pPr>
      <w:r>
        <w:t>Belastungsfaktoren und Gesundheit von Pflegehelferinnen im Heim: Was Arbeitsbedingungen bewirken</w:t>
      </w:r>
    </w:p>
    <w:p>
      <w:r>
        <w:rPr>
          <w:i/>
          <w:color w:val="666666"/>
          <w:sz w:val="18"/>
        </w:rPr>
        <w:t>Catalano A et al.  ·  J Nurs Manag  ·  2026  ·  PMID 42922003</w:t>
      </w:r>
    </w:p>
    <w:p>
      <w:r>
        <w:t>Querschnittstudie zu Burnout, psychischen Belastungen und Muskel-Skelett-Beschwerden bei 202 Pflegehelferinnen in italienischen Pflegeheimen.</w:t>
      </w:r>
    </w:p>
    <w:p>
      <w:r>
        <w:rPr>
          <w:b/>
        </w:rPr>
        <w:t xml:space="preserve">Ergebnis: </w:t>
      </w:r>
      <w:r>
        <w:t>86 % berichteten Muskel-Skelett-Schmerzen an mindestens zwei Körperstellen. Job-Unsicherheit war signifikant mit erhöhtem Depressionrisiko, Emotionaler Erschöpfung und Depersonalisierung assoziiert (p &lt; 0,05). Arbeit in Heimen mit hohem Betreuungsbedarf war mit erhöhter Depression und Angststörung verknüpft. Die Befunde zeigen enge Zusammenhänge zwischen physischer Belastung, organisatorischen Faktoren und psychischer Gesundheit.</w:t>
      </w:r>
    </w:p>
    <w:p>
      <w:r>
        <w:rPr>
          <w:b/>
          <w:sz w:val="19"/>
        </w:rPr>
        <w:t xml:space="preserve">Übertragbarkeit: </w:t>
      </w:r>
      <w:r>
        <w:rPr>
          <w:sz w:val="19"/>
        </w:rPr>
        <w:t>Italien, vergleichbare südeuropäische Pflegeheimstruktur; Aussagen zu Organisationsfaktoren übertragbar</w:t>
      </w:r>
    </w:p>
    <w:p>
      <w:r>
        <w:rPr>
          <w:color w:val="5A7D3A"/>
          <w:sz w:val="18"/>
        </w:rPr>
        <w:t>https://pubmed.ncbi.nlm.nih.gov/42922003/</w:t>
      </w:r>
    </w:p>
    <w:p>
      <w:pPr>
        <w:pStyle w:val="Heading2"/>
      </w:pPr>
      <w:r>
        <w:t>Emotionale Anforderungen im Pflegeberuf: Was Erfahrung über längere Karrieren bewirkt</w:t>
      </w:r>
    </w:p>
    <w:p>
      <w:r>
        <w:rPr>
          <w:i/>
          <w:color w:val="666666"/>
          <w:sz w:val="18"/>
        </w:rPr>
        <w:t>Popucza TZ et al.  ·  Nurs Open  ·  Okt. 2026  ·  PMID 42921873</w:t>
      </w:r>
    </w:p>
    <w:p>
      <w:r>
        <w:t>Qualitative Studie mit 13 schwedischen Pflegekräften ab 60 Jahren mit mindestens 20 Jahren Berufserfahrung zu Veränderungen emotionaler Anforderungen und Emotionsregulation über die Karriere.</w:t>
      </w:r>
    </w:p>
    <w:p>
      <w:r>
        <w:rPr>
          <w:b/>
        </w:rPr>
        <w:t xml:space="preserve">Ergebnis: </w:t>
      </w:r>
      <w:r>
        <w:t>Teilnehmende beschrieben zunehmende berufliche Vorbereitung und bewusstere Emotionsregulation über die Zeit, jedoch nicht allein altersbedingt, sondern in Verbindung mit beruflichen und persönlichen Umständen, Arbeitsplatzveränderungen und gesellschaftlichen Transformationen. Emotionale Nachhaltigkeit hängt mit Arbeitsgestaltung, Erholungsmöglichkeiten und Mentoring-Chancen zusammen.</w:t>
      </w:r>
    </w:p>
    <w:p>
      <w:r>
        <w:rPr>
          <w:b/>
          <w:sz w:val="19"/>
        </w:rPr>
        <w:t xml:space="preserve">Übertragbarkeit: </w:t>
      </w:r>
      <w:r>
        <w:rPr>
          <w:sz w:val="19"/>
        </w:rPr>
        <w:t>Schweden, ähnliche nordische Pflegestruktur; Befunde zur emotionalen Belastbarkeit relevant für Karriereverlauf</w:t>
      </w:r>
    </w:p>
    <w:p>
      <w:r>
        <w:rPr>
          <w:color w:val="5A7D3A"/>
          <w:sz w:val="18"/>
        </w:rPr>
        <w:t>https://pubmed.ncbi.nlm.nih.gov/42921873/</w:t>
      </w:r>
    </w:p>
    <w:p>
      <w:pPr>
        <w:pStyle w:val="Heading2"/>
      </w:pPr>
      <w:r>
        <w:t>Partizipative Entscheidungsfindung in der Gastroenterologie: Rolle und Barrieren für die Pflegefachkraft</w:t>
      </w:r>
    </w:p>
    <w:p>
      <w:r>
        <w:rPr>
          <w:i/>
          <w:color w:val="666666"/>
          <w:sz w:val="18"/>
        </w:rPr>
        <w:t>Schoefs E et al.  ·  BMC Health Serv Res  ·  05.10.2026  ·  PMID 42907825</w:t>
      </w:r>
    </w:p>
    <w:p>
      <w:r>
        <w:t>Qualitative Studie mit 15 Patienten, 11 Gastroenterologen und 12 IBD-Pflegekräften in Belgien zur Umsetzung von Shared Decision Making (SDM) in der Versorgung.</w:t>
      </w:r>
    </w:p>
    <w:p>
      <w:r>
        <w:rPr>
          <w:b/>
        </w:rPr>
        <w:t xml:space="preserve">Ergebnis: </w:t>
      </w:r>
      <w:r>
        <w:t>Ärzte berichten routinemäßige SDM-Schritte, Patienten jedoch Inkonsistenzen bei emotionaler Unterstützung, Informationsklarheit und Präferenzenerhebung (p &lt; 0,05). IBD-Pflegekräfte wurden als wesentliche SDM-Partner wahrgenommen – sie verstärken Informationen, fördern Kommunikation und adressieren physische, emotionale und soziale Patientenbedürfnisse. Hauptbarrieren: niedrige Gesundheitskompetenz, mangelnde Kommunikation, Zeitdruck. Schlüsselfaktoren: SDM-Training und organisatorische Änderungen.</w:t>
      </w:r>
    </w:p>
    <w:p>
      <w:r>
        <w:rPr>
          <w:b/>
          <w:sz w:val="19"/>
        </w:rPr>
        <w:t xml:space="preserve">Übertragbarkeit: </w:t>
      </w:r>
      <w:r>
        <w:rPr>
          <w:sz w:val="19"/>
        </w:rPr>
        <w:t>Belgien, niederländischsprachiges System mit ähnlichen Versicherungsstrukturen; SDM-Barrieren auch in deutscher Versorgung relevant</w:t>
      </w:r>
    </w:p>
    <w:p>
      <w:r>
        <w:rPr>
          <w:color w:val="5A7D3A"/>
          <w:sz w:val="18"/>
        </w:rPr>
        <w:t>https://pubmed.ncbi.nlm.nih.gov/42907825/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Neueste Studien - Pflege und Langzeitversorgung</dc:title>
  <dc:subject/>
  <dc:creator>Monitor Versorgungsforschung</dc:creator>
  <cp:keywords/>
  <dc:description>generated by python-docx</dc:description>
  <cp:lastModifiedBy/>
  <cp:revision>1</cp:revision>
  <dcterms:created xsi:type="dcterms:W3CDTF">2026-10-26T06:00:00Z</dcterms:created>
  <dcterms:modified xsi:type="dcterms:W3CDTF">2026-10-26T06:00:00Z</dcterms:modified>
  <cp:category/>
</cp:coreProperties>
</file>